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9F13" w14:textId="77777777" w:rsidR="00A1101C" w:rsidRDefault="00A1101C">
      <w:pPr>
        <w:spacing w:after="0" w:line="240" w:lineRule="auto"/>
        <w:jc w:val="center"/>
        <w:rPr>
          <w:rFonts w:ascii="Arial" w:eastAsia="Arial" w:hAnsi="Arial" w:cs="Arial"/>
          <w:b/>
          <w:color w:val="000000"/>
          <w:sz w:val="30"/>
          <w:szCs w:val="30"/>
        </w:rPr>
      </w:pPr>
    </w:p>
    <w:p w14:paraId="32AC7059" w14:textId="77777777" w:rsidR="00A1101C" w:rsidRDefault="00A1101C">
      <w:pPr>
        <w:spacing w:after="0" w:line="240" w:lineRule="auto"/>
        <w:jc w:val="center"/>
        <w:rPr>
          <w:rFonts w:ascii="Arial" w:eastAsia="Arial" w:hAnsi="Arial" w:cs="Arial"/>
          <w:b/>
          <w:color w:val="000000"/>
          <w:sz w:val="30"/>
          <w:szCs w:val="30"/>
        </w:rPr>
      </w:pPr>
    </w:p>
    <w:p w14:paraId="1C5ED502" w14:textId="77777777" w:rsidR="00A1101C" w:rsidRDefault="0073281C">
      <w:pPr>
        <w:spacing w:after="0" w:line="276" w:lineRule="auto"/>
        <w:jc w:val="center"/>
        <w:rPr>
          <w:rFonts w:ascii="Arial" w:eastAsia="Arial" w:hAnsi="Arial" w:cs="Arial"/>
          <w:b/>
          <w:color w:val="000000"/>
          <w:sz w:val="36"/>
          <w:szCs w:val="36"/>
        </w:rPr>
      </w:pPr>
      <w:r>
        <w:rPr>
          <w:rFonts w:ascii="Arial" w:eastAsia="Arial" w:hAnsi="Arial" w:cs="Arial"/>
          <w:b/>
          <w:sz w:val="36"/>
          <w:szCs w:val="36"/>
        </w:rPr>
        <w:t>Últimos c</w:t>
      </w:r>
      <w:r>
        <w:rPr>
          <w:rFonts w:ascii="Arial" w:eastAsia="Arial" w:hAnsi="Arial" w:cs="Arial"/>
          <w:b/>
          <w:color w:val="000000"/>
          <w:sz w:val="36"/>
          <w:szCs w:val="36"/>
        </w:rPr>
        <w:t>ambios en el anteproyecto de LOSU antes de entrar al Parlamento</w:t>
      </w:r>
    </w:p>
    <w:p w14:paraId="7D1E7CEC" w14:textId="77777777" w:rsidR="00A1101C" w:rsidRDefault="0073281C">
      <w:pPr>
        <w:spacing w:after="0" w:line="276" w:lineRule="auto"/>
        <w:jc w:val="center"/>
        <w:rPr>
          <w:rFonts w:ascii="Arial" w:eastAsia="Arial" w:hAnsi="Arial" w:cs="Arial"/>
          <w:b/>
          <w:sz w:val="36"/>
          <w:szCs w:val="36"/>
        </w:rPr>
      </w:pPr>
      <w:r>
        <w:rPr>
          <w:rFonts w:ascii="Arial" w:eastAsia="Arial" w:hAnsi="Arial" w:cs="Arial"/>
          <w:b/>
          <w:color w:val="434343"/>
          <w:sz w:val="28"/>
          <w:szCs w:val="28"/>
        </w:rPr>
        <w:t>El ministerio plantea cambios de última hora para reducir la temporalidad de las plantillas universitarias.</w:t>
      </w:r>
      <w:r>
        <w:rPr>
          <w:rFonts w:ascii="Arial" w:eastAsia="Arial" w:hAnsi="Arial" w:cs="Arial"/>
          <w:b/>
          <w:sz w:val="36"/>
          <w:szCs w:val="36"/>
        </w:rPr>
        <w:t xml:space="preserve"> </w:t>
      </w:r>
    </w:p>
    <w:p w14:paraId="15AB69B7" w14:textId="77777777" w:rsidR="00A1101C" w:rsidRDefault="00A1101C">
      <w:pPr>
        <w:spacing w:after="0" w:line="276" w:lineRule="auto"/>
        <w:rPr>
          <w:rFonts w:ascii="Times New Roman" w:eastAsia="Times New Roman" w:hAnsi="Times New Roman" w:cs="Times New Roman"/>
          <w:sz w:val="24"/>
          <w:szCs w:val="24"/>
        </w:rPr>
      </w:pPr>
    </w:p>
    <w:p w14:paraId="6C034E3F" w14:textId="3A76DD36" w:rsidR="00A1101C" w:rsidRDefault="0073281C">
      <w:pPr>
        <w:spacing w:after="0" w:line="276" w:lineRule="auto"/>
        <w:ind w:firstLine="720"/>
        <w:jc w:val="both"/>
        <w:rPr>
          <w:rFonts w:ascii="Arial" w:eastAsia="Arial" w:hAnsi="Arial" w:cs="Arial"/>
          <w:color w:val="000000"/>
          <w:sz w:val="22"/>
          <w:szCs w:val="22"/>
        </w:rPr>
      </w:pPr>
      <w:r>
        <w:rPr>
          <w:rFonts w:ascii="Arial" w:eastAsia="Arial" w:hAnsi="Arial" w:cs="Arial"/>
          <w:color w:val="000000"/>
          <w:sz w:val="22"/>
          <w:szCs w:val="22"/>
        </w:rPr>
        <w:t xml:space="preserve">Como ya </w:t>
      </w:r>
      <w:hyperlink r:id="rId7">
        <w:r>
          <w:rPr>
            <w:rFonts w:ascii="Arial" w:eastAsia="Arial" w:hAnsi="Arial" w:cs="Arial"/>
            <w:color w:val="1155CC"/>
            <w:sz w:val="22"/>
            <w:szCs w:val="22"/>
            <w:u w:val="single"/>
          </w:rPr>
          <w:t>comunicamos hace unos días</w:t>
        </w:r>
      </w:hyperlink>
      <w:r>
        <w:rPr>
          <w:rFonts w:ascii="Arial" w:eastAsia="Arial" w:hAnsi="Arial" w:cs="Arial"/>
          <w:color w:val="000000"/>
          <w:sz w:val="22"/>
          <w:szCs w:val="22"/>
        </w:rPr>
        <w:t>, el Ministerio de Univer</w:t>
      </w:r>
      <w:r>
        <w:rPr>
          <w:rFonts w:ascii="Arial" w:eastAsia="Arial" w:hAnsi="Arial" w:cs="Arial"/>
          <w:sz w:val="22"/>
          <w:szCs w:val="22"/>
        </w:rPr>
        <w:t>sidades</w:t>
      </w:r>
      <w:r>
        <w:rPr>
          <w:rFonts w:ascii="Arial" w:eastAsia="Arial" w:hAnsi="Arial" w:cs="Arial"/>
          <w:color w:val="000000"/>
          <w:sz w:val="22"/>
          <w:szCs w:val="22"/>
        </w:rPr>
        <w:t xml:space="preserve"> está ultimando un </w:t>
      </w:r>
      <w:r w:rsidR="0005235D">
        <w:rPr>
          <w:rFonts w:ascii="Arial" w:eastAsia="Arial" w:hAnsi="Arial" w:cs="Arial"/>
          <w:color w:val="000000"/>
          <w:sz w:val="22"/>
          <w:szCs w:val="22"/>
        </w:rPr>
        <w:t>anteproyecto</w:t>
      </w:r>
      <w:r>
        <w:rPr>
          <w:rFonts w:ascii="Arial" w:eastAsia="Arial" w:hAnsi="Arial" w:cs="Arial"/>
          <w:color w:val="000000"/>
          <w:sz w:val="22"/>
          <w:szCs w:val="22"/>
        </w:rPr>
        <w:t xml:space="preserve"> de una nueva ley orgánica </w:t>
      </w:r>
      <w:r w:rsidR="0005235D">
        <w:rPr>
          <w:rFonts w:ascii="Arial" w:eastAsia="Arial" w:hAnsi="Arial" w:cs="Arial"/>
          <w:color w:val="000000"/>
          <w:sz w:val="22"/>
          <w:szCs w:val="22"/>
        </w:rPr>
        <w:t>del sistema universitario</w:t>
      </w:r>
      <w:r>
        <w:rPr>
          <w:rFonts w:ascii="Arial" w:eastAsia="Arial" w:hAnsi="Arial" w:cs="Arial"/>
          <w:color w:val="000000"/>
          <w:sz w:val="22"/>
          <w:szCs w:val="22"/>
        </w:rPr>
        <w:t xml:space="preserve"> que quiere llevar al Parlamento antes del verano.</w:t>
      </w:r>
    </w:p>
    <w:p w14:paraId="7D112506" w14:textId="77777777" w:rsidR="0005235D" w:rsidRDefault="0005235D">
      <w:pPr>
        <w:spacing w:after="0" w:line="276" w:lineRule="auto"/>
        <w:ind w:firstLine="720"/>
        <w:jc w:val="both"/>
        <w:rPr>
          <w:rFonts w:ascii="Arial" w:eastAsia="Arial" w:hAnsi="Arial" w:cs="Arial"/>
          <w:color w:val="000000"/>
          <w:sz w:val="22"/>
          <w:szCs w:val="22"/>
        </w:rPr>
      </w:pPr>
    </w:p>
    <w:p w14:paraId="55DDACA3" w14:textId="63426DA6" w:rsidR="00A1101C" w:rsidRDefault="0073281C">
      <w:pPr>
        <w:spacing w:after="0" w:line="276" w:lineRule="auto"/>
        <w:ind w:firstLine="720"/>
        <w:jc w:val="both"/>
        <w:rPr>
          <w:rFonts w:ascii="Arial" w:eastAsia="Arial" w:hAnsi="Arial" w:cs="Arial"/>
          <w:color w:val="000000"/>
          <w:sz w:val="22"/>
          <w:szCs w:val="22"/>
        </w:rPr>
      </w:pPr>
      <w:r>
        <w:rPr>
          <w:rFonts w:ascii="Arial" w:eastAsia="Arial" w:hAnsi="Arial" w:cs="Arial"/>
          <w:sz w:val="22"/>
          <w:szCs w:val="22"/>
        </w:rPr>
        <w:t xml:space="preserve">El lunes 13 de junio, el Ministerio de Universidades </w:t>
      </w:r>
      <w:r w:rsidR="0005235D">
        <w:rPr>
          <w:rFonts w:ascii="Arial" w:eastAsia="Arial" w:hAnsi="Arial" w:cs="Arial"/>
          <w:color w:val="000000"/>
          <w:sz w:val="22"/>
          <w:szCs w:val="22"/>
        </w:rPr>
        <w:t>remitió</w:t>
      </w:r>
      <w:r>
        <w:rPr>
          <w:rFonts w:ascii="Arial" w:eastAsia="Arial" w:hAnsi="Arial" w:cs="Arial"/>
          <w:color w:val="000000"/>
          <w:sz w:val="22"/>
          <w:szCs w:val="22"/>
        </w:rPr>
        <w:t xml:space="preserve"> a los sindicatos una nota referida a algunos cambios introducidos en el anteproyecto y relacionados todos con la temporalidad del PDI.</w:t>
      </w:r>
    </w:p>
    <w:p w14:paraId="3434DCD5" w14:textId="77777777" w:rsidR="00A1101C" w:rsidRDefault="00A1101C">
      <w:pPr>
        <w:spacing w:after="0" w:line="276" w:lineRule="auto"/>
        <w:ind w:firstLine="720"/>
        <w:jc w:val="both"/>
        <w:rPr>
          <w:rFonts w:ascii="Arial" w:eastAsia="Arial" w:hAnsi="Arial" w:cs="Arial"/>
          <w:color w:val="000000"/>
          <w:sz w:val="22"/>
          <w:szCs w:val="22"/>
        </w:rPr>
      </w:pPr>
    </w:p>
    <w:p w14:paraId="6B089544" w14:textId="77777777" w:rsidR="00A1101C" w:rsidRDefault="0073281C">
      <w:pPr>
        <w:spacing w:after="0" w:line="276" w:lineRule="auto"/>
        <w:ind w:firstLine="720"/>
        <w:jc w:val="both"/>
        <w:rPr>
          <w:rFonts w:ascii="Arial" w:eastAsia="Arial" w:hAnsi="Arial" w:cs="Arial"/>
          <w:color w:val="000000"/>
          <w:sz w:val="22"/>
          <w:szCs w:val="22"/>
        </w:rPr>
      </w:pPr>
      <w:r>
        <w:rPr>
          <w:rFonts w:ascii="Arial" w:eastAsia="Arial" w:hAnsi="Arial" w:cs="Arial"/>
          <w:color w:val="000000"/>
          <w:sz w:val="22"/>
          <w:szCs w:val="22"/>
        </w:rPr>
        <w:t>Entre los cambios introducidos destacan:</w:t>
      </w:r>
    </w:p>
    <w:p w14:paraId="43535341" w14:textId="77777777" w:rsidR="00A1101C" w:rsidRDefault="00A1101C">
      <w:pPr>
        <w:spacing w:after="0" w:line="276" w:lineRule="auto"/>
        <w:jc w:val="both"/>
        <w:rPr>
          <w:rFonts w:ascii="Arial" w:eastAsia="Arial" w:hAnsi="Arial" w:cs="Arial"/>
          <w:color w:val="000000"/>
          <w:sz w:val="22"/>
          <w:szCs w:val="22"/>
        </w:rPr>
      </w:pPr>
    </w:p>
    <w:p w14:paraId="6EADC0B3" w14:textId="77777777" w:rsidR="00A1101C" w:rsidRDefault="0073281C">
      <w:pPr>
        <w:numPr>
          <w:ilvl w:val="0"/>
          <w:numId w:val="1"/>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 limitación al 8% del profesorado con contrato temporal, a excepción de asociados de Ciencias de la Salud y profesorado ayudante doctor (PAD). De esta forma, se limita el </w:t>
      </w:r>
      <w:r>
        <w:rPr>
          <w:rFonts w:ascii="Arial" w:eastAsia="Arial" w:hAnsi="Arial" w:cs="Arial"/>
          <w:sz w:val="22"/>
          <w:szCs w:val="22"/>
        </w:rPr>
        <w:t xml:space="preserve">porcentaje de plazas de profesorado interino, profesorado sustituto, profesores/as visitantes y profesores/as distinguidos/as. </w:t>
      </w:r>
    </w:p>
    <w:p w14:paraId="1AC675EF" w14:textId="025D7EB9" w:rsidR="00A1101C" w:rsidRDefault="0073281C">
      <w:pPr>
        <w:numPr>
          <w:ilvl w:val="0"/>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El contrato de profesorado asociado se presupone indefinido y a tiempo parcial</w:t>
      </w:r>
      <w:r w:rsidR="0005235D">
        <w:rPr>
          <w:rFonts w:ascii="Arial" w:eastAsia="Arial" w:hAnsi="Arial" w:cs="Arial"/>
          <w:color w:val="000000"/>
          <w:sz w:val="22"/>
          <w:szCs w:val="22"/>
        </w:rPr>
        <w:t>, aunque no se especifica a que profesorado afectará</w:t>
      </w:r>
      <w:r>
        <w:rPr>
          <w:rFonts w:ascii="Arial" w:eastAsia="Arial" w:hAnsi="Arial" w:cs="Arial"/>
          <w:color w:val="000000"/>
          <w:sz w:val="22"/>
          <w:szCs w:val="22"/>
        </w:rPr>
        <w:t>.</w:t>
      </w:r>
    </w:p>
    <w:p w14:paraId="4AA722AC" w14:textId="77777777" w:rsidR="00A1101C" w:rsidRDefault="0073281C">
      <w:pPr>
        <w:numPr>
          <w:ilvl w:val="0"/>
          <w:numId w:val="1"/>
        </w:num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Se </w:t>
      </w:r>
      <w:r>
        <w:rPr>
          <w:rFonts w:ascii="Arial" w:eastAsia="Arial" w:hAnsi="Arial" w:cs="Arial"/>
          <w:sz w:val="22"/>
          <w:szCs w:val="22"/>
        </w:rPr>
        <w:t>articulan</w:t>
      </w:r>
      <w:r>
        <w:rPr>
          <w:rFonts w:ascii="Arial" w:eastAsia="Arial" w:hAnsi="Arial" w:cs="Arial"/>
          <w:color w:val="000000"/>
          <w:sz w:val="22"/>
          <w:szCs w:val="22"/>
        </w:rPr>
        <w:t xml:space="preserve"> procesos de estabilización (sin concretar) por concurso para el profesorado asociado, que tendrán que ser desarrollados por las universidades públicas antes de 31 de diciembre de 2024. En estos concursos se valorarán como mérito preferente las actividades docentes. </w:t>
      </w:r>
    </w:p>
    <w:p w14:paraId="08E9F9F4" w14:textId="05452345" w:rsidR="00A1101C" w:rsidRDefault="0073281C">
      <w:pPr>
        <w:numPr>
          <w:ilvl w:val="0"/>
          <w:numId w:val="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Establece diferentes mecanismos para la conversión de profesorado asociado con contratos de larga duración en profesorado ayudante doctor o permanente laboral (si cuentan con acreditación) o contratados predoctorales. </w:t>
      </w:r>
    </w:p>
    <w:p w14:paraId="1326B479" w14:textId="025D4472" w:rsidR="00A1101C" w:rsidRDefault="0073281C">
      <w:pPr>
        <w:spacing w:after="0" w:line="276" w:lineRule="auto"/>
        <w:ind w:firstLine="720"/>
        <w:jc w:val="both"/>
        <w:rPr>
          <w:rFonts w:ascii="Arial" w:eastAsia="Arial" w:hAnsi="Arial" w:cs="Arial"/>
          <w:color w:val="000000"/>
          <w:sz w:val="22"/>
          <w:szCs w:val="22"/>
        </w:rPr>
      </w:pPr>
      <w:r>
        <w:rPr>
          <w:rFonts w:ascii="Arial" w:eastAsia="Arial" w:hAnsi="Arial" w:cs="Arial"/>
          <w:color w:val="000000"/>
          <w:sz w:val="22"/>
          <w:szCs w:val="22"/>
        </w:rPr>
        <w:t>Desde CCOO valoram</w:t>
      </w:r>
      <w:r>
        <w:rPr>
          <w:rFonts w:ascii="Arial" w:eastAsia="Arial" w:hAnsi="Arial" w:cs="Arial"/>
          <w:sz w:val="22"/>
          <w:szCs w:val="22"/>
        </w:rPr>
        <w:t xml:space="preserve">os positivamente que desde el Ministerio </w:t>
      </w:r>
      <w:r>
        <w:rPr>
          <w:rFonts w:ascii="Arial" w:eastAsia="Arial" w:hAnsi="Arial" w:cs="Arial"/>
          <w:color w:val="000000"/>
          <w:sz w:val="22"/>
          <w:szCs w:val="22"/>
        </w:rPr>
        <w:t>se haya escuchado nuestra reivindicación de tratar l</w:t>
      </w:r>
      <w:r>
        <w:rPr>
          <w:rFonts w:ascii="Arial" w:eastAsia="Arial" w:hAnsi="Arial" w:cs="Arial"/>
          <w:sz w:val="22"/>
          <w:szCs w:val="22"/>
        </w:rPr>
        <w:t xml:space="preserve">a temporalidad en el articulado de la ley de una manera </w:t>
      </w:r>
      <w:r>
        <w:rPr>
          <w:rFonts w:ascii="Arial" w:eastAsia="Arial" w:hAnsi="Arial" w:cs="Arial"/>
          <w:color w:val="000000"/>
          <w:sz w:val="22"/>
          <w:szCs w:val="22"/>
        </w:rPr>
        <w:t>más acorde con su propio preámbulo, así como con el espíritu de algunas otras reformas ya obradas por este mismo gobierno. El objetivo de reducir la temporalidad</w:t>
      </w:r>
      <w:r>
        <w:rPr>
          <w:rFonts w:ascii="Arial" w:eastAsia="Arial" w:hAnsi="Arial" w:cs="Arial"/>
          <w:sz w:val="22"/>
          <w:szCs w:val="22"/>
        </w:rPr>
        <w:t xml:space="preserve"> por debajo del 8% debería ser común para todas las administraciones. </w:t>
      </w:r>
    </w:p>
    <w:p w14:paraId="4EE64D97" w14:textId="77777777" w:rsidR="00A1101C" w:rsidRDefault="00A1101C">
      <w:pPr>
        <w:spacing w:after="0" w:line="276" w:lineRule="auto"/>
        <w:ind w:firstLine="720"/>
        <w:jc w:val="both"/>
        <w:rPr>
          <w:rFonts w:ascii="Arial" w:eastAsia="Arial" w:hAnsi="Arial" w:cs="Arial"/>
          <w:color w:val="000000"/>
          <w:sz w:val="22"/>
          <w:szCs w:val="22"/>
        </w:rPr>
      </w:pPr>
    </w:p>
    <w:p w14:paraId="743B6634" w14:textId="72E8FE9F" w:rsidR="00A1101C" w:rsidRDefault="0073281C">
      <w:pPr>
        <w:spacing w:after="0" w:line="276" w:lineRule="auto"/>
        <w:ind w:firstLine="720"/>
        <w:jc w:val="both"/>
        <w:rPr>
          <w:rFonts w:ascii="Arial" w:eastAsia="Arial" w:hAnsi="Arial" w:cs="Arial"/>
          <w:color w:val="000000"/>
          <w:sz w:val="22"/>
          <w:szCs w:val="22"/>
        </w:rPr>
      </w:pPr>
      <w:r>
        <w:rPr>
          <w:rFonts w:ascii="Arial" w:eastAsia="Arial" w:hAnsi="Arial" w:cs="Arial"/>
          <w:color w:val="000000"/>
          <w:sz w:val="22"/>
          <w:szCs w:val="22"/>
        </w:rPr>
        <w:t>No obstante, este objetivo queda distor</w:t>
      </w:r>
      <w:r>
        <w:rPr>
          <w:rFonts w:ascii="Arial" w:eastAsia="Arial" w:hAnsi="Arial" w:cs="Arial"/>
          <w:sz w:val="22"/>
          <w:szCs w:val="22"/>
        </w:rPr>
        <w:t>sionado al excluir del cómputo a los asociados en CC. de la Salud y a los PAD. E</w:t>
      </w:r>
      <w:r>
        <w:rPr>
          <w:rFonts w:ascii="Arial" w:eastAsia="Arial" w:hAnsi="Arial" w:cs="Arial"/>
          <w:color w:val="000000"/>
          <w:sz w:val="22"/>
          <w:szCs w:val="22"/>
        </w:rPr>
        <w:t xml:space="preserve">n la </w:t>
      </w:r>
      <w:r>
        <w:rPr>
          <w:rFonts w:ascii="Arial" w:eastAsia="Arial" w:hAnsi="Arial" w:cs="Arial"/>
          <w:sz w:val="22"/>
          <w:szCs w:val="22"/>
        </w:rPr>
        <w:t xml:space="preserve">actualidad, y según datos del propio Ministerio, el </w:t>
      </w:r>
      <w:r>
        <w:rPr>
          <w:rFonts w:ascii="Arial" w:eastAsia="Arial" w:hAnsi="Arial" w:cs="Arial"/>
          <w:b/>
          <w:sz w:val="22"/>
          <w:szCs w:val="22"/>
        </w:rPr>
        <w:t>porcentaje total de asociados de Ciencias de la Salud más los Ayudantes Doctores</w:t>
      </w:r>
      <w:r>
        <w:rPr>
          <w:rFonts w:ascii="Arial" w:eastAsia="Arial" w:hAnsi="Arial" w:cs="Arial"/>
          <w:sz w:val="22"/>
          <w:szCs w:val="22"/>
        </w:rPr>
        <w:t xml:space="preserve"> respecto a la suma de PDI funcionario, Contratados Doctores, Asociados</w:t>
      </w:r>
      <w:r w:rsidR="0005235D">
        <w:rPr>
          <w:rFonts w:ascii="Arial" w:eastAsia="Arial" w:hAnsi="Arial" w:cs="Arial"/>
          <w:sz w:val="22"/>
          <w:szCs w:val="22"/>
        </w:rPr>
        <w:t xml:space="preserve"> de otras ramas</w:t>
      </w:r>
      <w:r>
        <w:rPr>
          <w:rFonts w:ascii="Arial" w:eastAsia="Arial" w:hAnsi="Arial" w:cs="Arial"/>
          <w:sz w:val="22"/>
          <w:szCs w:val="22"/>
        </w:rPr>
        <w:t xml:space="preserve"> y Colaboradores supone el </w:t>
      </w:r>
      <w:r>
        <w:rPr>
          <w:rFonts w:ascii="Arial" w:eastAsia="Arial" w:hAnsi="Arial" w:cs="Arial"/>
          <w:b/>
          <w:sz w:val="22"/>
          <w:szCs w:val="22"/>
        </w:rPr>
        <w:t>18,83% de efectivos</w:t>
      </w:r>
      <w:r>
        <w:rPr>
          <w:rFonts w:ascii="Arial" w:eastAsia="Arial" w:hAnsi="Arial" w:cs="Arial"/>
          <w:sz w:val="22"/>
          <w:szCs w:val="22"/>
        </w:rPr>
        <w:t xml:space="preserve">, un 11,63% si se contabilizan en Equivalencias a Tiempo Completo. Es decir, dejar fuera del cálculo </w:t>
      </w:r>
      <w:r>
        <w:rPr>
          <w:rFonts w:ascii="Arial" w:eastAsia="Arial" w:hAnsi="Arial" w:cs="Arial"/>
          <w:sz w:val="22"/>
          <w:szCs w:val="22"/>
        </w:rPr>
        <w:lastRenderedPageBreak/>
        <w:t xml:space="preserve">de la temporalidad al profesorado asociado de Ciencias de la Salud y a los Ayudantes Doctores implica dejar fuera a un elevado número de </w:t>
      </w:r>
      <w:proofErr w:type="gramStart"/>
      <w:r>
        <w:rPr>
          <w:rFonts w:ascii="Arial" w:eastAsia="Arial" w:hAnsi="Arial" w:cs="Arial"/>
          <w:sz w:val="22"/>
          <w:szCs w:val="22"/>
        </w:rPr>
        <w:t>trabajadoras y trabajadores</w:t>
      </w:r>
      <w:proofErr w:type="gramEnd"/>
      <w:r>
        <w:rPr>
          <w:rFonts w:ascii="Arial" w:eastAsia="Arial" w:hAnsi="Arial" w:cs="Arial"/>
          <w:sz w:val="22"/>
          <w:szCs w:val="22"/>
        </w:rPr>
        <w:t xml:space="preserve"> temporales y, por tanto, </w:t>
      </w:r>
      <w:r w:rsidR="0005235D">
        <w:rPr>
          <w:rFonts w:ascii="Arial" w:eastAsia="Arial" w:hAnsi="Arial" w:cs="Arial"/>
          <w:sz w:val="22"/>
          <w:szCs w:val="22"/>
        </w:rPr>
        <w:t xml:space="preserve">supone </w:t>
      </w:r>
      <w:r>
        <w:rPr>
          <w:rFonts w:ascii="Arial" w:eastAsia="Arial" w:hAnsi="Arial" w:cs="Arial"/>
          <w:sz w:val="22"/>
          <w:szCs w:val="22"/>
        </w:rPr>
        <w:t xml:space="preserve">un trato desigual </w:t>
      </w:r>
      <w:r w:rsidR="0005235D">
        <w:rPr>
          <w:rFonts w:ascii="Arial" w:eastAsia="Arial" w:hAnsi="Arial" w:cs="Arial"/>
          <w:sz w:val="22"/>
          <w:szCs w:val="22"/>
        </w:rPr>
        <w:t xml:space="preserve">y desfavorable </w:t>
      </w:r>
      <w:r>
        <w:rPr>
          <w:rFonts w:ascii="Arial" w:eastAsia="Arial" w:hAnsi="Arial" w:cs="Arial"/>
          <w:sz w:val="22"/>
          <w:szCs w:val="22"/>
        </w:rPr>
        <w:t>del sistema universitario respecto a otras administraciones públicas.</w:t>
      </w:r>
    </w:p>
    <w:p w14:paraId="25CCDC9E" w14:textId="77777777" w:rsidR="00A1101C" w:rsidRDefault="00A1101C">
      <w:pPr>
        <w:spacing w:after="0" w:line="276" w:lineRule="auto"/>
        <w:ind w:firstLine="720"/>
        <w:jc w:val="both"/>
        <w:rPr>
          <w:rFonts w:ascii="Arial" w:eastAsia="Arial" w:hAnsi="Arial" w:cs="Arial"/>
          <w:sz w:val="22"/>
          <w:szCs w:val="22"/>
        </w:rPr>
      </w:pPr>
    </w:p>
    <w:p w14:paraId="3F385976" w14:textId="306194D7" w:rsidR="00A1101C" w:rsidRDefault="0073281C">
      <w:pPr>
        <w:spacing w:after="0" w:line="276" w:lineRule="auto"/>
        <w:ind w:firstLine="720"/>
        <w:jc w:val="both"/>
        <w:rPr>
          <w:rFonts w:ascii="Arial" w:eastAsia="Arial" w:hAnsi="Arial" w:cs="Arial"/>
          <w:sz w:val="22"/>
          <w:szCs w:val="22"/>
        </w:rPr>
      </w:pPr>
      <w:r>
        <w:rPr>
          <w:rFonts w:ascii="Arial" w:eastAsia="Arial" w:hAnsi="Arial" w:cs="Arial"/>
          <w:sz w:val="22"/>
          <w:szCs w:val="22"/>
        </w:rPr>
        <w:t xml:space="preserve">Además, </w:t>
      </w:r>
      <w:r>
        <w:rPr>
          <w:rFonts w:ascii="Arial" w:eastAsia="Arial" w:hAnsi="Arial" w:cs="Arial"/>
          <w:color w:val="000000"/>
          <w:sz w:val="22"/>
          <w:szCs w:val="22"/>
        </w:rPr>
        <w:t>todavía queda por ver cómo es la incorporación definitiva de estos cambios en el anteproyecto de ley (la referida nota tiene u</w:t>
      </w:r>
      <w:r>
        <w:rPr>
          <w:rFonts w:ascii="Arial" w:eastAsia="Arial" w:hAnsi="Arial" w:cs="Arial"/>
          <w:sz w:val="22"/>
          <w:szCs w:val="22"/>
        </w:rPr>
        <w:t>na redacción un tanto informal)</w:t>
      </w:r>
      <w:r w:rsidR="0005235D">
        <w:rPr>
          <w:rFonts w:ascii="Arial" w:eastAsia="Arial" w:hAnsi="Arial" w:cs="Arial"/>
          <w:sz w:val="22"/>
          <w:szCs w:val="22"/>
        </w:rPr>
        <w:t xml:space="preserve">, </w:t>
      </w:r>
      <w:r w:rsidR="00FF639C">
        <w:rPr>
          <w:rFonts w:ascii="Arial" w:hAnsi="Arial" w:cs="Arial"/>
          <w:color w:val="000000"/>
          <w:sz w:val="22"/>
          <w:szCs w:val="22"/>
        </w:rPr>
        <w:t xml:space="preserve">tampoco hay referencias </w:t>
      </w:r>
      <w:r>
        <w:rPr>
          <w:rFonts w:ascii="Arial" w:eastAsia="Arial" w:hAnsi="Arial" w:cs="Arial"/>
          <w:sz w:val="22"/>
          <w:szCs w:val="22"/>
        </w:rPr>
        <w:t xml:space="preserve">a la financiación de los procesos de estabilización, ya que también desconocemos la </w:t>
      </w:r>
      <w:r>
        <w:rPr>
          <w:rFonts w:ascii="Arial" w:eastAsia="Arial" w:hAnsi="Arial" w:cs="Arial"/>
          <w:color w:val="000000"/>
          <w:sz w:val="22"/>
          <w:szCs w:val="22"/>
        </w:rPr>
        <w:t>memoria económica de la ley</w:t>
      </w:r>
      <w:r>
        <w:rPr>
          <w:rFonts w:ascii="Arial" w:eastAsia="Arial" w:hAnsi="Arial" w:cs="Arial"/>
          <w:sz w:val="22"/>
          <w:szCs w:val="22"/>
        </w:rPr>
        <w:t xml:space="preserve">. Tampoco se dice nada de cómo se va a realizar el seguimiento de estos procesos, para asegurar su cumplimiento. </w:t>
      </w:r>
    </w:p>
    <w:p w14:paraId="6FCCE951" w14:textId="77777777" w:rsidR="00A1101C" w:rsidRDefault="00A1101C">
      <w:pPr>
        <w:spacing w:after="0" w:line="276" w:lineRule="auto"/>
        <w:ind w:firstLine="720"/>
        <w:jc w:val="both"/>
        <w:rPr>
          <w:rFonts w:ascii="Arial" w:eastAsia="Arial" w:hAnsi="Arial" w:cs="Arial"/>
          <w:sz w:val="22"/>
          <w:szCs w:val="22"/>
        </w:rPr>
      </w:pPr>
    </w:p>
    <w:p w14:paraId="231FC662" w14:textId="72B97819" w:rsidR="00A1101C" w:rsidRDefault="0073281C">
      <w:pPr>
        <w:spacing w:after="0" w:line="276" w:lineRule="auto"/>
        <w:ind w:firstLine="720"/>
        <w:jc w:val="both"/>
        <w:rPr>
          <w:rFonts w:ascii="Arial" w:eastAsia="Arial" w:hAnsi="Arial" w:cs="Arial"/>
          <w:sz w:val="22"/>
          <w:szCs w:val="22"/>
        </w:rPr>
      </w:pPr>
      <w:r>
        <w:rPr>
          <w:rFonts w:ascii="Arial" w:eastAsia="Arial" w:hAnsi="Arial" w:cs="Arial"/>
          <w:sz w:val="22"/>
          <w:szCs w:val="22"/>
        </w:rPr>
        <w:t xml:space="preserve">En todo caso, el Ministerio de Universidades no ha contestado a las numerosas propuestas que CCOO envió en su momento sobre los distintos aspectos de la LOSU, centrándose únicamente en la temporalidad. Sin embargo, hay muchos temas que revisar en una ley tan importante que va a configurar el futuro del sistema universitario a nivel estatal en los próximos años. Por eso, desde CCOO </w:t>
      </w:r>
      <w:r w:rsidR="00FF639C">
        <w:rPr>
          <w:rFonts w:ascii="Arial" w:eastAsia="Arial" w:hAnsi="Arial" w:cs="Arial"/>
          <w:sz w:val="22"/>
          <w:szCs w:val="22"/>
        </w:rPr>
        <w:t>seguimos instando</w:t>
      </w:r>
      <w:r>
        <w:rPr>
          <w:rFonts w:ascii="Arial" w:eastAsia="Arial" w:hAnsi="Arial" w:cs="Arial"/>
          <w:sz w:val="22"/>
          <w:szCs w:val="22"/>
        </w:rPr>
        <w:t xml:space="preserve"> al Ministerio a que desarrolle un proceso de negociación y diálogo, y a que conteste a todas nuestras propuestas. </w:t>
      </w:r>
    </w:p>
    <w:p w14:paraId="150A5E1E" w14:textId="77777777" w:rsidR="00A1101C" w:rsidRDefault="00A1101C">
      <w:pPr>
        <w:pBdr>
          <w:top w:val="nil"/>
          <w:left w:val="nil"/>
          <w:bottom w:val="nil"/>
          <w:right w:val="nil"/>
          <w:between w:val="nil"/>
        </w:pBdr>
        <w:spacing w:after="0" w:line="276" w:lineRule="auto"/>
        <w:ind w:left="360"/>
        <w:jc w:val="both"/>
        <w:rPr>
          <w:rFonts w:ascii="Arial" w:eastAsia="Arial" w:hAnsi="Arial" w:cs="Arial"/>
          <w:color w:val="000000"/>
          <w:sz w:val="22"/>
          <w:szCs w:val="22"/>
        </w:rPr>
      </w:pPr>
    </w:p>
    <w:p w14:paraId="49C9676F" w14:textId="77777777" w:rsidR="00A1101C" w:rsidRDefault="00A1101C">
      <w:pPr>
        <w:pBdr>
          <w:top w:val="nil"/>
          <w:left w:val="nil"/>
          <w:bottom w:val="nil"/>
          <w:right w:val="nil"/>
          <w:between w:val="nil"/>
        </w:pBdr>
        <w:spacing w:after="0" w:line="276" w:lineRule="auto"/>
        <w:ind w:left="360"/>
        <w:jc w:val="both"/>
        <w:rPr>
          <w:rFonts w:ascii="Arial" w:eastAsia="Arial" w:hAnsi="Arial" w:cs="Arial"/>
          <w:color w:val="000000"/>
          <w:sz w:val="22"/>
          <w:szCs w:val="22"/>
        </w:rPr>
      </w:pPr>
    </w:p>
    <w:p w14:paraId="4E91F28D" w14:textId="77777777" w:rsidR="00A1101C" w:rsidRDefault="0073281C">
      <w:pPr>
        <w:pBdr>
          <w:top w:val="nil"/>
          <w:left w:val="nil"/>
          <w:bottom w:val="nil"/>
          <w:right w:val="nil"/>
          <w:between w:val="nil"/>
        </w:pBdr>
        <w:spacing w:after="0" w:line="276" w:lineRule="auto"/>
        <w:ind w:left="360"/>
        <w:jc w:val="right"/>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sz w:val="22"/>
          <w:szCs w:val="22"/>
        </w:rPr>
        <w:t>5</w:t>
      </w:r>
      <w:r>
        <w:rPr>
          <w:rFonts w:ascii="Arial" w:eastAsia="Arial" w:hAnsi="Arial" w:cs="Arial"/>
          <w:color w:val="000000"/>
          <w:sz w:val="22"/>
          <w:szCs w:val="22"/>
        </w:rPr>
        <w:t xml:space="preserve"> de junio de 2022</w:t>
      </w:r>
    </w:p>
    <w:p w14:paraId="5012F445" w14:textId="77777777" w:rsidR="00A1101C" w:rsidRDefault="0073281C">
      <w:pPr>
        <w:pBdr>
          <w:top w:val="nil"/>
          <w:left w:val="nil"/>
          <w:bottom w:val="nil"/>
          <w:right w:val="nil"/>
          <w:between w:val="nil"/>
        </w:pBdr>
        <w:spacing w:after="0" w:line="276" w:lineRule="auto"/>
        <w:ind w:left="360"/>
        <w:jc w:val="right"/>
        <w:rPr>
          <w:rFonts w:ascii="Arial" w:eastAsia="Arial" w:hAnsi="Arial" w:cs="Arial"/>
          <w:color w:val="000000"/>
          <w:sz w:val="22"/>
          <w:szCs w:val="22"/>
        </w:rPr>
      </w:pPr>
      <w:r>
        <w:rPr>
          <w:rFonts w:ascii="Arial" w:eastAsia="Arial" w:hAnsi="Arial" w:cs="Arial"/>
          <w:color w:val="000000"/>
          <w:sz w:val="22"/>
          <w:szCs w:val="22"/>
        </w:rPr>
        <w:t>Secretaría de Universidad e Investigación</w:t>
      </w:r>
    </w:p>
    <w:p w14:paraId="0231EE3C" w14:textId="77777777" w:rsidR="00A1101C" w:rsidRDefault="00A1101C">
      <w:pPr>
        <w:pBdr>
          <w:top w:val="nil"/>
          <w:left w:val="nil"/>
          <w:bottom w:val="nil"/>
          <w:right w:val="nil"/>
          <w:between w:val="nil"/>
        </w:pBdr>
        <w:spacing w:after="0" w:line="240" w:lineRule="auto"/>
        <w:ind w:left="360"/>
        <w:jc w:val="right"/>
        <w:rPr>
          <w:rFonts w:ascii="Arial" w:eastAsia="Arial" w:hAnsi="Arial" w:cs="Arial"/>
          <w:sz w:val="22"/>
          <w:szCs w:val="22"/>
        </w:rPr>
      </w:pPr>
    </w:p>
    <w:p w14:paraId="508D2E3E" w14:textId="77777777" w:rsidR="00A1101C" w:rsidRDefault="00A1101C">
      <w:pPr>
        <w:pBdr>
          <w:top w:val="nil"/>
          <w:left w:val="nil"/>
          <w:bottom w:val="nil"/>
          <w:right w:val="nil"/>
          <w:between w:val="nil"/>
        </w:pBdr>
        <w:spacing w:after="0" w:line="240" w:lineRule="auto"/>
        <w:ind w:left="360"/>
        <w:jc w:val="right"/>
        <w:rPr>
          <w:rFonts w:ascii="Arial" w:eastAsia="Arial" w:hAnsi="Arial" w:cs="Arial"/>
          <w:sz w:val="22"/>
          <w:szCs w:val="22"/>
        </w:rPr>
      </w:pPr>
    </w:p>
    <w:p w14:paraId="5333CE13" w14:textId="77777777" w:rsidR="00A1101C" w:rsidRDefault="00A1101C">
      <w:pPr>
        <w:pBdr>
          <w:top w:val="nil"/>
          <w:left w:val="nil"/>
          <w:bottom w:val="nil"/>
          <w:right w:val="nil"/>
          <w:between w:val="nil"/>
        </w:pBdr>
        <w:spacing w:after="0" w:line="240" w:lineRule="auto"/>
        <w:ind w:left="360"/>
        <w:jc w:val="right"/>
        <w:rPr>
          <w:rFonts w:ascii="Arial" w:eastAsia="Arial" w:hAnsi="Arial" w:cs="Arial"/>
          <w:sz w:val="22"/>
          <w:szCs w:val="22"/>
        </w:rPr>
      </w:pPr>
    </w:p>
    <w:sectPr w:rsidR="00A1101C">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09D5" w14:textId="77777777" w:rsidR="009426DB" w:rsidRDefault="009426DB">
      <w:pPr>
        <w:spacing w:after="0" w:line="240" w:lineRule="auto"/>
      </w:pPr>
      <w:r>
        <w:separator/>
      </w:r>
    </w:p>
  </w:endnote>
  <w:endnote w:type="continuationSeparator" w:id="0">
    <w:p w14:paraId="7C5C5235" w14:textId="77777777" w:rsidR="009426DB" w:rsidRDefault="0094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EF29" w14:textId="77777777" w:rsidR="00A1101C" w:rsidRDefault="00A1101C">
    <w:pPr>
      <w:widowControl w:val="0"/>
      <w:pBdr>
        <w:top w:val="nil"/>
        <w:left w:val="nil"/>
        <w:bottom w:val="nil"/>
        <w:right w:val="nil"/>
        <w:between w:val="nil"/>
      </w:pBdr>
      <w:spacing w:after="0" w:line="276" w:lineRule="auto"/>
      <w:rPr>
        <w:color w:val="000000"/>
      </w:rPr>
    </w:pPr>
  </w:p>
  <w:tbl>
    <w:tblPr>
      <w:tblStyle w:val="a0"/>
      <w:tblW w:w="9638" w:type="dxa"/>
      <w:tblInd w:w="0" w:type="dxa"/>
      <w:tblLayout w:type="fixed"/>
      <w:tblLook w:val="0000" w:firstRow="0" w:lastRow="0" w:firstColumn="0" w:lastColumn="0" w:noHBand="0" w:noVBand="0"/>
    </w:tblPr>
    <w:tblGrid>
      <w:gridCol w:w="2454"/>
      <w:gridCol w:w="7184"/>
    </w:tblGrid>
    <w:tr w:rsidR="00A1101C" w14:paraId="7339880A" w14:textId="77777777">
      <w:tc>
        <w:tcPr>
          <w:tcW w:w="2454" w:type="dxa"/>
          <w:shd w:val="clear" w:color="auto" w:fill="auto"/>
          <w:vAlign w:val="bottom"/>
        </w:tcPr>
        <w:p w14:paraId="0FC5B51D" w14:textId="77777777" w:rsidR="00A1101C" w:rsidRDefault="0073281C">
          <w:pPr>
            <w:pBdr>
              <w:top w:val="nil"/>
              <w:left w:val="nil"/>
              <w:bottom w:val="nil"/>
              <w:right w:val="nil"/>
              <w:between w:val="nil"/>
            </w:pBdr>
            <w:tabs>
              <w:tab w:val="center" w:pos="4252"/>
              <w:tab w:val="right" w:pos="8504"/>
            </w:tabs>
            <w:spacing w:before="120" w:after="0" w:line="240" w:lineRule="auto"/>
            <w:rPr>
              <w:color w:val="000000"/>
              <w:sz w:val="16"/>
              <w:szCs w:val="16"/>
            </w:rPr>
          </w:pPr>
          <w:r>
            <w:rPr>
              <w:color w:val="000000"/>
              <w:sz w:val="16"/>
              <w:szCs w:val="16"/>
            </w:rPr>
            <w:t>Ramírez de Arellano, 19, 4ª planta</w:t>
          </w:r>
        </w:p>
        <w:p w14:paraId="2EC1DC60" w14:textId="77777777" w:rsidR="00A1101C" w:rsidRDefault="0073281C">
          <w:pPr>
            <w:pBdr>
              <w:top w:val="nil"/>
              <w:left w:val="nil"/>
              <w:bottom w:val="nil"/>
              <w:right w:val="nil"/>
              <w:between w:val="nil"/>
            </w:pBdr>
            <w:tabs>
              <w:tab w:val="center" w:pos="4252"/>
              <w:tab w:val="right" w:pos="8504"/>
            </w:tabs>
            <w:spacing w:after="0" w:line="240" w:lineRule="auto"/>
            <w:rPr>
              <w:color w:val="000000"/>
              <w:sz w:val="16"/>
              <w:szCs w:val="16"/>
            </w:rPr>
          </w:pPr>
          <w:r>
            <w:rPr>
              <w:color w:val="000000"/>
              <w:sz w:val="16"/>
              <w:szCs w:val="16"/>
            </w:rPr>
            <w:t>28043 Madrid</w:t>
          </w:r>
        </w:p>
        <w:p w14:paraId="5E301A40" w14:textId="77777777" w:rsidR="00A1101C" w:rsidRDefault="0073281C">
          <w:pPr>
            <w:pBdr>
              <w:top w:val="nil"/>
              <w:left w:val="nil"/>
              <w:bottom w:val="nil"/>
              <w:right w:val="nil"/>
              <w:between w:val="nil"/>
            </w:pBdr>
            <w:tabs>
              <w:tab w:val="center" w:pos="4252"/>
              <w:tab w:val="right" w:pos="8504"/>
            </w:tabs>
            <w:spacing w:after="0" w:line="240" w:lineRule="auto"/>
            <w:rPr>
              <w:b/>
              <w:color w:val="FF0000"/>
              <w:sz w:val="20"/>
              <w:szCs w:val="20"/>
            </w:rPr>
          </w:pPr>
          <w:r>
            <w:rPr>
              <w:color w:val="000000"/>
              <w:sz w:val="16"/>
              <w:szCs w:val="16"/>
            </w:rPr>
            <w:t>Teléf. 91 540 92 03</w:t>
          </w:r>
        </w:p>
        <w:p w14:paraId="766BFF1C" w14:textId="77777777" w:rsidR="00A1101C" w:rsidRDefault="0073281C">
          <w:pPr>
            <w:pBdr>
              <w:top w:val="nil"/>
              <w:left w:val="nil"/>
              <w:bottom w:val="nil"/>
              <w:right w:val="nil"/>
              <w:between w:val="nil"/>
            </w:pBdr>
            <w:tabs>
              <w:tab w:val="center" w:pos="4252"/>
              <w:tab w:val="right" w:pos="8504"/>
            </w:tabs>
            <w:spacing w:after="0" w:line="240" w:lineRule="auto"/>
            <w:rPr>
              <w:color w:val="000000"/>
              <w:sz w:val="16"/>
              <w:szCs w:val="16"/>
            </w:rPr>
          </w:pPr>
          <w:r>
            <w:rPr>
              <w:b/>
              <w:color w:val="FF0000"/>
              <w:sz w:val="20"/>
              <w:szCs w:val="20"/>
            </w:rPr>
            <w:t>www.fe.ccoo.es</w:t>
          </w:r>
        </w:p>
      </w:tc>
      <w:tc>
        <w:tcPr>
          <w:tcW w:w="7184" w:type="dxa"/>
          <w:shd w:val="clear" w:color="auto" w:fill="auto"/>
          <w:vAlign w:val="bottom"/>
        </w:tcPr>
        <w:p w14:paraId="2826CAA9" w14:textId="77777777" w:rsidR="00A1101C" w:rsidRDefault="0073281C">
          <w:pPr>
            <w:pBdr>
              <w:top w:val="nil"/>
              <w:left w:val="nil"/>
              <w:bottom w:val="nil"/>
              <w:right w:val="nil"/>
              <w:between w:val="nil"/>
            </w:pBdr>
            <w:tabs>
              <w:tab w:val="center" w:pos="4252"/>
              <w:tab w:val="right" w:pos="8504"/>
            </w:tabs>
            <w:spacing w:after="170" w:line="240" w:lineRule="auto"/>
            <w:jc w:val="right"/>
            <w:rPr>
              <w:color w:val="000000"/>
            </w:rPr>
          </w:pPr>
          <w:r>
            <w:rPr>
              <w:color w:val="000000"/>
              <w:sz w:val="16"/>
              <w:szCs w:val="16"/>
            </w:rPr>
            <w:t>Afiliada a la Internacional de la Educación (IE) y Al Comité Sindical Europeo de la Educación (CSEE)</w:t>
          </w:r>
        </w:p>
      </w:tc>
    </w:tr>
  </w:tbl>
  <w:p w14:paraId="0124CEE3" w14:textId="77777777" w:rsidR="00A1101C" w:rsidRDefault="0073281C">
    <w:pPr>
      <w:pBdr>
        <w:top w:val="nil"/>
        <w:left w:val="nil"/>
        <w:bottom w:val="nil"/>
        <w:right w:val="nil"/>
        <w:between w:val="nil"/>
      </w:pBdr>
      <w:tabs>
        <w:tab w:val="center" w:pos="4252"/>
        <w:tab w:val="right" w:pos="8504"/>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5BFC" w14:textId="77777777" w:rsidR="009426DB" w:rsidRDefault="009426DB">
      <w:pPr>
        <w:spacing w:after="0" w:line="240" w:lineRule="auto"/>
      </w:pPr>
      <w:r>
        <w:separator/>
      </w:r>
    </w:p>
  </w:footnote>
  <w:footnote w:type="continuationSeparator" w:id="0">
    <w:p w14:paraId="5160E88D" w14:textId="77777777" w:rsidR="009426DB" w:rsidRDefault="0094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50A9" w14:textId="77777777" w:rsidR="00A1101C" w:rsidRDefault="0073281C">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0" locked="0" layoutInCell="1" hidden="0" allowOverlap="1" wp14:anchorId="60AF7E94" wp14:editId="4797D506">
          <wp:simplePos x="0" y="0"/>
          <wp:positionH relativeFrom="column">
            <wp:posOffset>-190498</wp:posOffset>
          </wp:positionH>
          <wp:positionV relativeFrom="paragraph">
            <wp:posOffset>-286383</wp:posOffset>
          </wp:positionV>
          <wp:extent cx="6115050" cy="609600"/>
          <wp:effectExtent l="0" t="0" r="0" b="0"/>
          <wp:wrapTopAndBottom distT="0" dist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15050" cy="609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1582A"/>
    <w:multiLevelType w:val="multilevel"/>
    <w:tmpl w:val="2CC85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498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1C"/>
    <w:rsid w:val="0005235D"/>
    <w:rsid w:val="00680689"/>
    <w:rsid w:val="0073281C"/>
    <w:rsid w:val="009426DB"/>
    <w:rsid w:val="00A1101C"/>
    <w:rsid w:val="00FF6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0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s-ES" w:eastAsia="es-E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FF"/>
  </w:style>
  <w:style w:type="paragraph" w:styleId="Ttulo1">
    <w:name w:val="heading 1"/>
    <w:basedOn w:val="Normal"/>
    <w:next w:val="Normal"/>
    <w:link w:val="Ttulo1Car"/>
    <w:uiPriority w:val="9"/>
    <w:qFormat/>
    <w:rsid w:val="00065DF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065DF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065DF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065DF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065DF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065DFF"/>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065DFF"/>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065DF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065DF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65DF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table" w:customStyle="1" w:styleId="TableNormal0">
    <w:name w:val="Table Normal"/>
    <w:tblPr>
      <w:tblCellMar>
        <w:top w:w="0" w:type="dxa"/>
        <w:left w:w="0" w:type="dxa"/>
        <w:bottom w:w="0" w:type="dxa"/>
        <w:right w:w="0" w:type="dxa"/>
      </w:tblCellMar>
    </w:tblPr>
  </w:style>
  <w:style w:type="paragraph" w:customStyle="1" w:styleId="paragraph">
    <w:name w:val="paragraph"/>
    <w:basedOn w:val="Normal"/>
    <w:rsid w:val="00756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7566DA"/>
  </w:style>
  <w:style w:type="character" w:customStyle="1" w:styleId="eop">
    <w:name w:val="eop"/>
    <w:rsid w:val="007566DA"/>
  </w:style>
  <w:style w:type="paragraph" w:styleId="Encabezado">
    <w:name w:val="header"/>
    <w:basedOn w:val="Normal"/>
    <w:link w:val="EncabezadoCar"/>
    <w:unhideWhenUsed/>
    <w:rsid w:val="002954F9"/>
    <w:pPr>
      <w:tabs>
        <w:tab w:val="center" w:pos="4252"/>
        <w:tab w:val="right" w:pos="8504"/>
      </w:tabs>
      <w:spacing w:after="0" w:line="240" w:lineRule="auto"/>
    </w:pPr>
  </w:style>
  <w:style w:type="character" w:customStyle="1" w:styleId="EncabezadoCar">
    <w:name w:val="Encabezado Car"/>
    <w:basedOn w:val="Fuentedeprrafopredeter"/>
    <w:link w:val="Encabezado"/>
    <w:rsid w:val="002954F9"/>
  </w:style>
  <w:style w:type="paragraph" w:styleId="Piedepgina">
    <w:name w:val="footer"/>
    <w:basedOn w:val="Normal"/>
    <w:link w:val="PiedepginaCar"/>
    <w:uiPriority w:val="99"/>
    <w:unhideWhenUsed/>
    <w:rsid w:val="002954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54F9"/>
  </w:style>
  <w:style w:type="character" w:customStyle="1" w:styleId="Ttulo1Car">
    <w:name w:val="Título 1 Car"/>
    <w:basedOn w:val="Fuentedeprrafopredeter"/>
    <w:link w:val="Ttulo1"/>
    <w:uiPriority w:val="9"/>
    <w:rsid w:val="00065DFF"/>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065DFF"/>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065DFF"/>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065DFF"/>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065DFF"/>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065DFF"/>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065DFF"/>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065DFF"/>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065DFF"/>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065DFF"/>
    <w:pPr>
      <w:spacing w:line="240" w:lineRule="auto"/>
    </w:pPr>
    <w:rPr>
      <w:b/>
      <w:bCs/>
      <w:smallCaps/>
      <w:color w:val="595959" w:themeColor="text1" w:themeTint="A6"/>
    </w:rPr>
  </w:style>
  <w:style w:type="character" w:customStyle="1" w:styleId="TtuloCar">
    <w:name w:val="Título Car"/>
    <w:basedOn w:val="Fuentedeprrafopredeter"/>
    <w:link w:val="Ttulo"/>
    <w:uiPriority w:val="10"/>
    <w:rsid w:val="00065DF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pPr>
      <w:spacing w:line="240" w:lineRule="auto"/>
    </w:pPr>
    <w:rPr>
      <w:sz w:val="30"/>
      <w:szCs w:val="30"/>
    </w:rPr>
  </w:style>
  <w:style w:type="character" w:customStyle="1" w:styleId="SubttuloCar">
    <w:name w:val="Subtítulo Car"/>
    <w:basedOn w:val="Fuentedeprrafopredeter"/>
    <w:link w:val="Subttulo"/>
    <w:uiPriority w:val="11"/>
    <w:rsid w:val="00065DFF"/>
    <w:rPr>
      <w:rFonts w:asciiTheme="majorHAnsi" w:eastAsiaTheme="majorEastAsia" w:hAnsiTheme="majorHAnsi" w:cstheme="majorBidi"/>
      <w:sz w:val="30"/>
      <w:szCs w:val="30"/>
    </w:rPr>
  </w:style>
  <w:style w:type="character" w:styleId="Textoennegrita">
    <w:name w:val="Strong"/>
    <w:basedOn w:val="Fuentedeprrafopredeter"/>
    <w:uiPriority w:val="22"/>
    <w:qFormat/>
    <w:rsid w:val="00065DFF"/>
    <w:rPr>
      <w:b/>
      <w:bCs/>
    </w:rPr>
  </w:style>
  <w:style w:type="character" w:styleId="nfasis">
    <w:name w:val="Emphasis"/>
    <w:basedOn w:val="Fuentedeprrafopredeter"/>
    <w:uiPriority w:val="20"/>
    <w:qFormat/>
    <w:rsid w:val="00065DFF"/>
    <w:rPr>
      <w:i/>
      <w:iCs/>
      <w:color w:val="70AD47" w:themeColor="accent6"/>
    </w:rPr>
  </w:style>
  <w:style w:type="paragraph" w:styleId="Sinespaciado">
    <w:name w:val="No Spacing"/>
    <w:uiPriority w:val="1"/>
    <w:qFormat/>
    <w:rsid w:val="00065DFF"/>
    <w:pPr>
      <w:spacing w:after="0" w:line="240" w:lineRule="auto"/>
    </w:pPr>
  </w:style>
  <w:style w:type="paragraph" w:styleId="Cita">
    <w:name w:val="Quote"/>
    <w:basedOn w:val="Normal"/>
    <w:next w:val="Normal"/>
    <w:link w:val="CitaCar"/>
    <w:uiPriority w:val="29"/>
    <w:qFormat/>
    <w:rsid w:val="00065DF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065DFF"/>
    <w:rPr>
      <w:i/>
      <w:iCs/>
      <w:color w:val="262626" w:themeColor="text1" w:themeTint="D9"/>
    </w:rPr>
  </w:style>
  <w:style w:type="paragraph" w:styleId="Citadestacada">
    <w:name w:val="Intense Quote"/>
    <w:basedOn w:val="Normal"/>
    <w:next w:val="Normal"/>
    <w:link w:val="CitadestacadaCar"/>
    <w:uiPriority w:val="30"/>
    <w:qFormat/>
    <w:rsid w:val="00065DF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065DFF"/>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065DFF"/>
    <w:rPr>
      <w:i/>
      <w:iCs/>
    </w:rPr>
  </w:style>
  <w:style w:type="character" w:styleId="nfasisintenso">
    <w:name w:val="Intense Emphasis"/>
    <w:basedOn w:val="Fuentedeprrafopredeter"/>
    <w:uiPriority w:val="21"/>
    <w:qFormat/>
    <w:rsid w:val="00065DFF"/>
    <w:rPr>
      <w:b/>
      <w:bCs/>
      <w:i/>
      <w:iCs/>
    </w:rPr>
  </w:style>
  <w:style w:type="character" w:styleId="Referenciasutil">
    <w:name w:val="Subtle Reference"/>
    <w:basedOn w:val="Fuentedeprrafopredeter"/>
    <w:uiPriority w:val="31"/>
    <w:qFormat/>
    <w:rsid w:val="00065DFF"/>
    <w:rPr>
      <w:smallCaps/>
      <w:color w:val="595959" w:themeColor="text1" w:themeTint="A6"/>
    </w:rPr>
  </w:style>
  <w:style w:type="character" w:styleId="Referenciaintensa">
    <w:name w:val="Intense Reference"/>
    <w:basedOn w:val="Fuentedeprrafopredeter"/>
    <w:uiPriority w:val="32"/>
    <w:qFormat/>
    <w:rsid w:val="00065DFF"/>
    <w:rPr>
      <w:b/>
      <w:bCs/>
      <w:smallCaps/>
      <w:color w:val="70AD47" w:themeColor="accent6"/>
    </w:rPr>
  </w:style>
  <w:style w:type="character" w:styleId="Ttulodellibro">
    <w:name w:val="Book Title"/>
    <w:basedOn w:val="Fuentedeprrafopredeter"/>
    <w:uiPriority w:val="33"/>
    <w:qFormat/>
    <w:rsid w:val="00065DFF"/>
    <w:rPr>
      <w:b/>
      <w:bCs/>
      <w:caps w:val="0"/>
      <w:smallCaps/>
      <w:spacing w:val="7"/>
      <w:sz w:val="21"/>
      <w:szCs w:val="21"/>
    </w:rPr>
  </w:style>
  <w:style w:type="paragraph" w:styleId="TtuloTDC">
    <w:name w:val="TOC Heading"/>
    <w:basedOn w:val="Ttulo1"/>
    <w:next w:val="Normal"/>
    <w:uiPriority w:val="39"/>
    <w:semiHidden/>
    <w:unhideWhenUsed/>
    <w:qFormat/>
    <w:rsid w:val="00065DFF"/>
    <w:pPr>
      <w:outlineLvl w:val="9"/>
    </w:pPr>
  </w:style>
  <w:style w:type="table" w:customStyle="1" w:styleId="a">
    <w:basedOn w:val="TableNormal0"/>
    <w:tblPr>
      <w:tblStyleRowBandSize w:val="1"/>
      <w:tblStyleColBandSize w:val="1"/>
    </w:tblPr>
  </w:style>
  <w:style w:type="paragraph" w:styleId="Prrafodelista">
    <w:name w:val="List Paragraph"/>
    <w:basedOn w:val="Normal"/>
    <w:uiPriority w:val="34"/>
    <w:qFormat/>
    <w:rsid w:val="00107A81"/>
    <w:pPr>
      <w:ind w:left="720"/>
      <w:contextualSpacing/>
    </w:p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e.ccoo.es/noticia:628208--El_anteproyecto_de_LOSU_la_ultima_oportunidad_fallida_para_revertir_las_politicas_austericidas_en_las_universidades_publicas_y_reforzar_su_caracter_social_y_su_funcionamiento_democratico&amp;opc_id=6d7083357e07289223eb24391d536b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3406</Characters>
  <Application>Microsoft Office Word</Application>
  <DocSecurity>0</DocSecurity>
  <Lines>72</Lines>
  <Paragraphs>18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2022-06-14T21:05:00Z</dcterms:created>
  <dcterms:modified xsi:type="dcterms:W3CDTF">2022-06-14T21:05:00Z</dcterms:modified>
</cp:coreProperties>
</file>