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CC" w:rsidRPr="00D56099" w:rsidRDefault="00EB5985" w:rsidP="00D56099">
      <w:pPr>
        <w:jc w:val="center"/>
        <w:rPr>
          <w:b/>
          <w:sz w:val="32"/>
          <w:szCs w:val="32"/>
        </w:rPr>
      </w:pPr>
      <w:r w:rsidRPr="00D56099">
        <w:rPr>
          <w:b/>
          <w:sz w:val="32"/>
          <w:szCs w:val="32"/>
        </w:rPr>
        <w:t>CCOO INFORMA</w:t>
      </w:r>
      <w:r w:rsidR="00D56099">
        <w:rPr>
          <w:b/>
          <w:sz w:val="32"/>
          <w:szCs w:val="32"/>
        </w:rPr>
        <w:t>.</w:t>
      </w:r>
      <w:bookmarkStart w:id="0" w:name="_GoBack"/>
      <w:bookmarkEnd w:id="0"/>
      <w:r w:rsidRPr="00D56099">
        <w:rPr>
          <w:b/>
          <w:sz w:val="32"/>
          <w:szCs w:val="32"/>
        </w:rPr>
        <w:t xml:space="preserve"> SEXENIO DE TRANSFERENCIA</w:t>
      </w:r>
    </w:p>
    <w:p w:rsidR="00EE35CC" w:rsidRDefault="00EB5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CCOO considera que el proyecto piloto de evaluación de los sexenios de transferencia de la convocatoria de 2018 del Ministerio de Ciencia, Innovación y Universidades ha sido un fracaso y que es necesaria una revisión exhaustiva de los criterios contemplado</w:t>
      </w:r>
      <w:r>
        <w:rPr>
          <w:b/>
          <w:sz w:val="24"/>
          <w:szCs w:val="24"/>
        </w:rPr>
        <w:t xml:space="preserve">s y un proceso de negociación con los agentes sociales. </w:t>
      </w:r>
    </w:p>
    <w:p w:rsidR="00EE35CC" w:rsidRDefault="00EB59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El análisis de los datos publicados por la ANECA</w:t>
      </w:r>
      <w:r>
        <w:rPr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>evidencia que la aplicación de los mismos ha sido subjetiva y arbitraria en función del área y comité de evaluación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Así, en primer lugar destaca un </w:t>
      </w:r>
      <w:r>
        <w:rPr>
          <w:b/>
          <w:sz w:val="24"/>
          <w:szCs w:val="24"/>
        </w:rPr>
        <w:t>marcado sesgo de género</w:t>
      </w:r>
      <w:r>
        <w:rPr>
          <w:sz w:val="24"/>
          <w:szCs w:val="24"/>
        </w:rPr>
        <w:t xml:space="preserve"> que alcanza su máxima expresión en el área de Artes y Humanidades con un diferencial negativo para las mujeres del 23,43% tras el análisis del 94,51% de las solicitudes presentadas, seguido por el área de Ciencias de la Salud con un</w:t>
      </w:r>
      <w:r>
        <w:rPr>
          <w:sz w:val="24"/>
          <w:szCs w:val="24"/>
        </w:rPr>
        <w:t xml:space="preserve"> 15,76% de un global del 44,36% de las solicitudes presentadas, a continuación se sitúa el área de Ciencias Sociales y Jurídicas con el 13,39% del cómputo del 80,86% de solicitudes realizadas y la cifra menor de desigualdad se encuentra en el área de Cienc</w:t>
      </w:r>
      <w:r>
        <w:rPr>
          <w:sz w:val="24"/>
          <w:szCs w:val="24"/>
        </w:rPr>
        <w:t>ias con un diferencial del 7,72% del 89,62% de las solicitudes evaluadas</w:t>
      </w:r>
      <w:r>
        <w:rPr>
          <w:color w:val="9900FF"/>
          <w:sz w:val="24"/>
          <w:szCs w:val="24"/>
        </w:rPr>
        <w:t xml:space="preserve">. </w:t>
      </w:r>
      <w:r>
        <w:rPr>
          <w:sz w:val="24"/>
          <w:szCs w:val="24"/>
        </w:rPr>
        <w:t xml:space="preserve">Además, cuando analizamos el número de solicitudes comprobamos que esta </w:t>
      </w:r>
      <w:proofErr w:type="gramStart"/>
      <w:r>
        <w:rPr>
          <w:sz w:val="24"/>
          <w:szCs w:val="24"/>
        </w:rPr>
        <w:t>desigualdad  aún</w:t>
      </w:r>
      <w:proofErr w:type="gramEnd"/>
      <w:r>
        <w:rPr>
          <w:sz w:val="24"/>
          <w:szCs w:val="24"/>
        </w:rPr>
        <w:t xml:space="preserve"> es mayor puesto que en el mejor de los casos las solicitudes femeninas se sitúan en torno al </w:t>
      </w:r>
      <w:r>
        <w:rPr>
          <w:sz w:val="24"/>
          <w:szCs w:val="24"/>
        </w:rPr>
        <w:t>44,5% en los ámbitos de Ciencias de la Salud, Artes y Humanidades y Ciencias Sociales y Jurídicas y descienden hasta el 32,22% en el área de Ciencias y al 24,46% en Ingenierías y Arquitectura</w:t>
      </w:r>
      <w:r>
        <w:rPr>
          <w:b/>
          <w:sz w:val="24"/>
          <w:szCs w:val="24"/>
        </w:rPr>
        <w:t xml:space="preserve">. </w:t>
      </w:r>
    </w:p>
    <w:p w:rsidR="00EE35CC" w:rsidRDefault="00EB5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CCOO considera estos datos muy negativos,</w:t>
      </w:r>
      <w:r>
        <w:rPr>
          <w:sz w:val="24"/>
          <w:szCs w:val="24"/>
        </w:rPr>
        <w:t xml:space="preserve"> teniendo en cuenta q</w:t>
      </w:r>
      <w:r>
        <w:rPr>
          <w:sz w:val="24"/>
          <w:szCs w:val="24"/>
        </w:rPr>
        <w:t>ue no reflejan la realidad de ningún modo ni tienen correspondencia con las solicitudes de evaluación y el éxito alcanzado por las mujeres en la misma convocatoria 2018 de sexenios de investigación.</w:t>
      </w:r>
    </w:p>
    <w:p w:rsidR="00EE35CC" w:rsidRDefault="00EB598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81625" cy="29813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5CC" w:rsidRDefault="00EB5985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lastRenderedPageBreak/>
        <w:t>Abundando en la discrecionalidad de las comisiones se o</w:t>
      </w:r>
      <w:r>
        <w:rPr>
          <w:sz w:val="24"/>
          <w:szCs w:val="24"/>
        </w:rPr>
        <w:t>bserva que en el área de Ciencias el porcentaje de evaluaciones positivas alcanza casi el 53% en la comisión 4 de Bioquímica y Ciencias de la Vida y no llega al 31,5% en la comisión 1 de Químicas. Estos resultados se reproducen en el área de Ciencias Socia</w:t>
      </w:r>
      <w:r>
        <w:rPr>
          <w:sz w:val="24"/>
          <w:szCs w:val="24"/>
        </w:rPr>
        <w:t>les y Jurídicas donde se advierte hasta un 45,7% de evaluaciones favorables en la comisión 14 de Ciencias Jurídicas mientras que sólo hay un exiguo 24,9% en la comisión 12 de Ciencias Sociales y del Comportamiento. Los resultados ponen de manifiesto que pa</w:t>
      </w:r>
      <w:r>
        <w:rPr>
          <w:sz w:val="24"/>
          <w:szCs w:val="24"/>
        </w:rPr>
        <w:t xml:space="preserve">rece que solo se hace transferencia en algunos campos del saber de </w:t>
      </w:r>
      <w:proofErr w:type="gramStart"/>
      <w:r>
        <w:rPr>
          <w:sz w:val="24"/>
          <w:szCs w:val="24"/>
        </w:rPr>
        <w:t>un mismo</w:t>
      </w:r>
      <w:proofErr w:type="gramEnd"/>
      <w:r>
        <w:rPr>
          <w:sz w:val="24"/>
          <w:szCs w:val="24"/>
        </w:rPr>
        <w:t xml:space="preserve"> área de conocimiento por lo que es imperativo que se realicen </w:t>
      </w:r>
      <w:r>
        <w:rPr>
          <w:b/>
          <w:sz w:val="24"/>
          <w:szCs w:val="24"/>
        </w:rPr>
        <w:t>cambios amplios en los criterios de evaluación y su aplicación, previa negociación con los agentes sociales</w:t>
      </w:r>
      <w:r>
        <w:rPr>
          <w:sz w:val="24"/>
          <w:szCs w:val="24"/>
        </w:rPr>
        <w:t>.</w:t>
      </w:r>
    </w:p>
    <w:p w:rsidR="00EE35CC" w:rsidRDefault="00EB5985">
      <w:pPr>
        <w:jc w:val="both"/>
        <w:rPr>
          <w:sz w:val="24"/>
          <w:szCs w:val="24"/>
        </w:rPr>
      </w:pPr>
      <w:bookmarkStart w:id="2" w:name="_heading=h.s4y1iexf6sys" w:colFirst="0" w:colLast="0"/>
      <w:bookmarkEnd w:id="2"/>
      <w:r>
        <w:rPr>
          <w:sz w:val="24"/>
          <w:szCs w:val="24"/>
        </w:rPr>
        <w:t>CCOO exig</w:t>
      </w:r>
      <w:r>
        <w:rPr>
          <w:sz w:val="24"/>
          <w:szCs w:val="24"/>
        </w:rPr>
        <w:t xml:space="preserve">e a la ANECA y el Ministerio de Universidades que hagan una </w:t>
      </w:r>
      <w:r>
        <w:rPr>
          <w:b/>
          <w:sz w:val="24"/>
          <w:szCs w:val="24"/>
        </w:rPr>
        <w:t>reflexión profunda sobre el concepto de “sexenio de transferencia”, lo delimiten jurídicamente</w:t>
      </w:r>
      <w:r>
        <w:rPr>
          <w:sz w:val="24"/>
          <w:szCs w:val="24"/>
        </w:rPr>
        <w:t xml:space="preserve"> y </w:t>
      </w:r>
      <w:r>
        <w:rPr>
          <w:b/>
          <w:sz w:val="24"/>
          <w:szCs w:val="24"/>
        </w:rPr>
        <w:t>establezcan y apliquen protocolos</w:t>
      </w:r>
      <w:r>
        <w:rPr>
          <w:sz w:val="24"/>
          <w:szCs w:val="24"/>
        </w:rPr>
        <w:t xml:space="preserve"> para los comités evaluadores, respetando todos los principios con</w:t>
      </w:r>
      <w:r>
        <w:rPr>
          <w:sz w:val="24"/>
          <w:szCs w:val="24"/>
        </w:rPr>
        <w:t xml:space="preserve">stitucionales, en particular, el de no discriminación por razón de género. </w:t>
      </w:r>
    </w:p>
    <w:p w:rsidR="00EE35CC" w:rsidRDefault="00EB5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aquellas personas con evaluación negativa que deseen interponer </w:t>
      </w:r>
      <w:r>
        <w:rPr>
          <w:b/>
          <w:sz w:val="24"/>
          <w:szCs w:val="24"/>
        </w:rPr>
        <w:t>recurso de alzada, CCOO ha realizado un modelo tipo que adjuntamos,</w:t>
      </w:r>
      <w:r>
        <w:rPr>
          <w:sz w:val="24"/>
          <w:szCs w:val="24"/>
        </w:rPr>
        <w:t xml:space="preserve"> e informa que </w:t>
      </w:r>
      <w:r>
        <w:rPr>
          <w:b/>
          <w:sz w:val="24"/>
          <w:szCs w:val="24"/>
        </w:rPr>
        <w:t>los plazos administrativos se</w:t>
      </w:r>
      <w:r>
        <w:rPr>
          <w:b/>
          <w:sz w:val="24"/>
          <w:szCs w:val="24"/>
        </w:rPr>
        <w:t xml:space="preserve"> reanudarán el próximo 1 de junio de 2020</w:t>
      </w:r>
      <w:r>
        <w:rPr>
          <w:sz w:val="24"/>
          <w:szCs w:val="24"/>
        </w:rPr>
        <w:t>, tal y como aparece contemplado en el apartado IV del RD 537/2020, de 22 de mayo, según el cual se deroga en esa fecha la disposición adicional tercera del Real Decreto 463/2020, de 14 de marzo.</w:t>
      </w:r>
    </w:p>
    <w:p w:rsidR="00EE35CC" w:rsidRDefault="00EB5985">
      <w:pPr>
        <w:jc w:val="both"/>
        <w:rPr>
          <w:sz w:val="24"/>
          <w:szCs w:val="24"/>
        </w:rPr>
      </w:pPr>
      <w:r>
        <w:rPr>
          <w:sz w:val="24"/>
          <w:szCs w:val="24"/>
        </w:rPr>
        <w:t>Dicho recurso se pu</w:t>
      </w:r>
      <w:r>
        <w:rPr>
          <w:sz w:val="24"/>
          <w:szCs w:val="24"/>
        </w:rPr>
        <w:t xml:space="preserve">ede interponer, dirigido al organismo ANECA, hasta el 30 de junio de 2020 </w:t>
      </w:r>
    </w:p>
    <w:p w:rsidR="00EE35CC" w:rsidRDefault="00EB598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manera telemática a través del Registro Electrónico Común (</w:t>
      </w:r>
      <w:hyperlink r:id="rId9">
        <w:r>
          <w:rPr>
            <w:color w:val="1155CC"/>
            <w:sz w:val="24"/>
            <w:szCs w:val="24"/>
            <w:u w:val="single"/>
          </w:rPr>
          <w:t>https</w:t>
        </w:r>
        <w:r>
          <w:rPr>
            <w:color w:val="1155CC"/>
            <w:sz w:val="24"/>
            <w:szCs w:val="24"/>
            <w:u w:val="single"/>
          </w:rPr>
          <w:t>://sede.administracion.gob.es/PAG_Sede/ServiciosElectronicos/RegistroElectroncoComun.html</w:t>
        </w:r>
      </w:hyperlink>
      <w:r>
        <w:rPr>
          <w:sz w:val="24"/>
          <w:szCs w:val="24"/>
        </w:rPr>
        <w:t xml:space="preserve">) </w:t>
      </w:r>
    </w:p>
    <w:p w:rsidR="00EE35CC" w:rsidRDefault="00EB598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escrito a la siguiente dirección: </w:t>
      </w:r>
    </w:p>
    <w:p w:rsidR="00EE35CC" w:rsidRDefault="00EB598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Dña. Mercedes Siles Molina</w:t>
      </w:r>
    </w:p>
    <w:p w:rsidR="00EE35CC" w:rsidRDefault="00EB598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Ilma. Directora ANECA y Presidenta de CNEAI</w:t>
      </w:r>
    </w:p>
    <w:p w:rsidR="00EE35CC" w:rsidRDefault="00EB598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Ministerio de Ciencia e Innovación</w:t>
      </w:r>
    </w:p>
    <w:p w:rsidR="00EE35CC" w:rsidRDefault="00EB598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Paseo de la Castell</w:t>
      </w:r>
      <w:r>
        <w:rPr>
          <w:sz w:val="24"/>
          <w:szCs w:val="24"/>
        </w:rPr>
        <w:t>ana, 162</w:t>
      </w:r>
    </w:p>
    <w:p w:rsidR="00EE35CC" w:rsidRDefault="00EB598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28071 Madrid</w:t>
      </w:r>
    </w:p>
    <w:p w:rsidR="00EE35CC" w:rsidRDefault="00EE35CC">
      <w:pPr>
        <w:jc w:val="both"/>
        <w:rPr>
          <w:sz w:val="24"/>
          <w:szCs w:val="24"/>
        </w:rPr>
      </w:pPr>
    </w:p>
    <w:p w:rsidR="00EE35CC" w:rsidRDefault="00EE35CC">
      <w:pPr>
        <w:jc w:val="both"/>
        <w:rPr>
          <w:sz w:val="24"/>
          <w:szCs w:val="24"/>
        </w:rPr>
      </w:pPr>
    </w:p>
    <w:p w:rsidR="00EE35CC" w:rsidRPr="00D56099" w:rsidRDefault="00EB5985">
      <w:pPr>
        <w:spacing w:after="0"/>
        <w:jc w:val="right"/>
        <w:rPr>
          <w:b/>
          <w:sz w:val="24"/>
          <w:szCs w:val="24"/>
        </w:rPr>
      </w:pPr>
      <w:r w:rsidRPr="00D56099">
        <w:rPr>
          <w:b/>
          <w:sz w:val="24"/>
          <w:szCs w:val="24"/>
        </w:rPr>
        <w:t>Madrid, 26 de mayo de 2020</w:t>
      </w:r>
    </w:p>
    <w:p w:rsidR="00EE35CC" w:rsidRPr="00D56099" w:rsidRDefault="00EB5985">
      <w:pPr>
        <w:spacing w:after="0"/>
        <w:jc w:val="right"/>
        <w:rPr>
          <w:b/>
          <w:sz w:val="24"/>
          <w:szCs w:val="24"/>
        </w:rPr>
      </w:pPr>
      <w:r w:rsidRPr="00D56099">
        <w:rPr>
          <w:b/>
          <w:sz w:val="24"/>
          <w:szCs w:val="24"/>
        </w:rPr>
        <w:t>Secretaría de Universidades e Investigación</w:t>
      </w:r>
    </w:p>
    <w:p w:rsidR="00EE35CC" w:rsidRDefault="00EB5985">
      <w:pPr>
        <w:spacing w:after="0"/>
        <w:jc w:val="right"/>
        <w:rPr>
          <w:sz w:val="24"/>
          <w:szCs w:val="24"/>
        </w:rPr>
      </w:pPr>
      <w:r w:rsidRPr="00D56099">
        <w:rPr>
          <w:b/>
          <w:sz w:val="24"/>
          <w:szCs w:val="24"/>
        </w:rPr>
        <w:t>FE CCOO</w:t>
      </w:r>
    </w:p>
    <w:sectPr w:rsidR="00EE3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85" w:rsidRDefault="00EB5985" w:rsidP="00D56099">
      <w:pPr>
        <w:spacing w:after="0" w:line="240" w:lineRule="auto"/>
      </w:pPr>
      <w:r>
        <w:separator/>
      </w:r>
    </w:p>
  </w:endnote>
  <w:endnote w:type="continuationSeparator" w:id="0">
    <w:p w:rsidR="00EB5985" w:rsidRDefault="00EB5985" w:rsidP="00D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A" w:rsidRDefault="009C27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3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1"/>
      <w:gridCol w:w="6452"/>
    </w:tblGrid>
    <w:tr w:rsidR="00D56099" w:rsidRPr="00B63357" w:rsidTr="00D56099">
      <w:tc>
        <w:tcPr>
          <w:tcW w:w="2311" w:type="dxa"/>
          <w:shd w:val="clear" w:color="auto" w:fill="auto"/>
          <w:vAlign w:val="bottom"/>
        </w:tcPr>
        <w:p w:rsidR="00D56099" w:rsidRPr="005A11BB" w:rsidRDefault="00D56099" w:rsidP="00D56099">
          <w:pPr>
            <w:pStyle w:val="Encabezado"/>
            <w:spacing w:before="120"/>
            <w:rPr>
              <w:sz w:val="16"/>
              <w:szCs w:val="16"/>
            </w:rPr>
          </w:pPr>
          <w:r w:rsidRPr="005A11BB">
            <w:rPr>
              <w:sz w:val="16"/>
              <w:szCs w:val="16"/>
            </w:rPr>
            <w:t>Ramírez de Arellano, 19, 4ª planta</w:t>
          </w:r>
        </w:p>
        <w:p w:rsidR="00D56099" w:rsidRPr="005A11BB" w:rsidRDefault="00D56099" w:rsidP="00D56099">
          <w:pPr>
            <w:pStyle w:val="Encabezado"/>
            <w:rPr>
              <w:sz w:val="16"/>
              <w:szCs w:val="16"/>
            </w:rPr>
          </w:pPr>
          <w:r w:rsidRPr="005A11BB">
            <w:rPr>
              <w:sz w:val="16"/>
              <w:szCs w:val="16"/>
            </w:rPr>
            <w:t>28043 Madrid</w:t>
          </w:r>
        </w:p>
        <w:p w:rsidR="00D56099" w:rsidRPr="005A11BB" w:rsidRDefault="00D56099" w:rsidP="00D56099">
          <w:pPr>
            <w:pStyle w:val="Encabezado"/>
            <w:rPr>
              <w:b/>
              <w:color w:val="FF0000"/>
              <w:sz w:val="20"/>
            </w:rPr>
          </w:pPr>
          <w:r w:rsidRPr="005A11BB">
            <w:rPr>
              <w:sz w:val="16"/>
              <w:szCs w:val="16"/>
            </w:rPr>
            <w:t>Teléf. 91 540 92 03</w:t>
          </w:r>
        </w:p>
        <w:p w:rsidR="00D56099" w:rsidRPr="005A11BB" w:rsidRDefault="00D56099" w:rsidP="00D56099">
          <w:pPr>
            <w:pStyle w:val="Encabezado"/>
            <w:rPr>
              <w:sz w:val="16"/>
              <w:szCs w:val="16"/>
            </w:rPr>
          </w:pPr>
          <w:r w:rsidRPr="005A11BB">
            <w:rPr>
              <w:b/>
              <w:color w:val="FF0000"/>
              <w:sz w:val="20"/>
            </w:rPr>
            <w:t>www.fe.ccoo.es</w:t>
          </w:r>
        </w:p>
      </w:tc>
      <w:tc>
        <w:tcPr>
          <w:tcW w:w="6452" w:type="dxa"/>
          <w:shd w:val="clear" w:color="auto" w:fill="auto"/>
          <w:vAlign w:val="bottom"/>
        </w:tcPr>
        <w:p w:rsidR="00D56099" w:rsidRPr="005A11BB" w:rsidRDefault="00D56099" w:rsidP="00D56099">
          <w:pPr>
            <w:pStyle w:val="Encabezado"/>
            <w:spacing w:after="170"/>
            <w:jc w:val="right"/>
          </w:pPr>
          <w:r w:rsidRPr="005A11BB">
            <w:rPr>
              <w:sz w:val="16"/>
              <w:szCs w:val="16"/>
            </w:rPr>
            <w:t>Afiliada a la Internacional de la Educación (IE) y Al Comité Sindical Europeo de la Educación (CSEE)</w:t>
          </w:r>
        </w:p>
      </w:tc>
    </w:tr>
  </w:tbl>
  <w:p w:rsidR="00D56099" w:rsidRDefault="00D56099" w:rsidP="00D56099">
    <w:pPr>
      <w:pStyle w:val="Piedepgina"/>
    </w:pPr>
  </w:p>
  <w:p w:rsidR="00D56099" w:rsidRDefault="00D560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A" w:rsidRDefault="009C27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85" w:rsidRDefault="00EB5985" w:rsidP="00D56099">
      <w:pPr>
        <w:spacing w:after="0" w:line="240" w:lineRule="auto"/>
      </w:pPr>
      <w:r>
        <w:separator/>
      </w:r>
    </w:p>
  </w:footnote>
  <w:footnote w:type="continuationSeparator" w:id="0">
    <w:p w:rsidR="00EB5985" w:rsidRDefault="00EB5985" w:rsidP="00D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A" w:rsidRDefault="009C27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99" w:rsidRDefault="00D56099">
    <w:pPr>
      <w:pStyle w:val="Encabezado"/>
    </w:pPr>
    <w:r>
      <w:rPr>
        <w:noProof/>
      </w:rPr>
      <w:drawing>
        <wp:inline distT="0" distB="0" distL="0" distR="0" wp14:anchorId="04FA1C13">
          <wp:extent cx="5401310" cy="5365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099" w:rsidRDefault="00D560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A" w:rsidRDefault="009C27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986"/>
    <w:multiLevelType w:val="multilevel"/>
    <w:tmpl w:val="F86839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C"/>
    <w:rsid w:val="009C277A"/>
    <w:rsid w:val="00D56099"/>
    <w:rsid w:val="00EB5985"/>
    <w:rsid w:val="00E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56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56099"/>
  </w:style>
  <w:style w:type="paragraph" w:styleId="Piedepgina">
    <w:name w:val="footer"/>
    <w:basedOn w:val="Normal"/>
    <w:link w:val="PiedepginaCar"/>
    <w:uiPriority w:val="99"/>
    <w:unhideWhenUsed/>
    <w:rsid w:val="00D56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administracion.gob.es/PAG_Sede/ServiciosElectronicos/RegistroElectroncoComu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ncina\Dropbox\Secretaria%20Universidad\ANECA\CNEAI\SEXENIOS%20DE%20TRANSFERENCIA%20EXCEL%20RESULTADOS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CONVOCATORIA de SEXENIOS DE TRANSFERENCIA 2018, RESULTADO DE LAS EVALUACIONES DE ABRIL Y MAYODE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4.8686034670590357E-2"/>
          <c:y val="0.32508666448642798"/>
          <c:w val="0.95131396532940959"/>
          <c:h val="0.67484088450605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Hoja1!$Y$43</c:f>
              <c:strCache>
                <c:ptCount val="1"/>
                <c:pt idx="0">
                  <c:v>EVALUADAS</c:v>
                </c:pt>
              </c:strCache>
            </c:strRef>
          </c:tx>
          <c:spPr>
            <a:solidFill>
              <a:srgbClr val="A5002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Hoja1!$Y$44:$Y$49</c:f>
              <c:numCache>
                <c:formatCode>0.00%</c:formatCode>
                <c:ptCount val="6"/>
                <c:pt idx="0">
                  <c:v>0.89618406285072949</c:v>
                </c:pt>
                <c:pt idx="1">
                  <c:v>0.44356796116504854</c:v>
                </c:pt>
                <c:pt idx="2">
                  <c:v>0.81862837710183256</c:v>
                </c:pt>
                <c:pt idx="3">
                  <c:v>0.81910569105691056</c:v>
                </c:pt>
                <c:pt idx="4">
                  <c:v>0.94514455151964416</c:v>
                </c:pt>
                <c:pt idx="5">
                  <c:v>0.80857279122451409</c:v>
                </c:pt>
              </c:numCache>
            </c:numRef>
          </c:val>
        </c:ser>
        <c:ser>
          <c:idx val="1"/>
          <c:order val="1"/>
          <c:tx>
            <c:strRef>
              <c:f>Hoja1!$Z$43</c:f>
              <c:strCache>
                <c:ptCount val="1"/>
                <c:pt idx="0">
                  <c:v>SOLICITUDES H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Hoja1!$Z$44:$Z$49</c:f>
              <c:numCache>
                <c:formatCode>0.00%</c:formatCode>
                <c:ptCount val="6"/>
                <c:pt idx="0">
                  <c:v>0.67783343769567939</c:v>
                </c:pt>
                <c:pt idx="1">
                  <c:v>0.54035567715458277</c:v>
                </c:pt>
                <c:pt idx="2">
                  <c:v>0.75536579736902842</c:v>
                </c:pt>
                <c:pt idx="3">
                  <c:v>0.55260545905707192</c:v>
                </c:pt>
                <c:pt idx="4">
                  <c:v>0.55686274509803924</c:v>
                </c:pt>
                <c:pt idx="5">
                  <c:v>0.64661210646612111</c:v>
                </c:pt>
              </c:numCache>
            </c:numRef>
          </c:val>
        </c:ser>
        <c:ser>
          <c:idx val="2"/>
          <c:order val="2"/>
          <c:tx>
            <c:strRef>
              <c:f>Hoja1!$AA$43</c:f>
              <c:strCache>
                <c:ptCount val="1"/>
                <c:pt idx="0">
                  <c:v>SOLICITUDES M</c:v>
                </c:pt>
              </c:strCache>
            </c:strRef>
          </c:tx>
          <c:spPr>
            <a:solidFill>
              <a:srgbClr val="CC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Hoja1!$AA$44:$AA$49</c:f>
              <c:numCache>
                <c:formatCode>0.00%</c:formatCode>
                <c:ptCount val="6"/>
                <c:pt idx="0">
                  <c:v>0.32216656230432061</c:v>
                </c:pt>
                <c:pt idx="1">
                  <c:v>0.45964432284541723</c:v>
                </c:pt>
                <c:pt idx="2">
                  <c:v>0.2446342026309716</c:v>
                </c:pt>
                <c:pt idx="3">
                  <c:v>0.44739454094292802</c:v>
                </c:pt>
                <c:pt idx="4">
                  <c:v>0.44313725490196076</c:v>
                </c:pt>
                <c:pt idx="5">
                  <c:v>0.35338789353387895</c:v>
                </c:pt>
              </c:numCache>
            </c:numRef>
          </c:val>
        </c:ser>
        <c:ser>
          <c:idx val="3"/>
          <c:order val="3"/>
          <c:tx>
            <c:strRef>
              <c:f>Hoja1!$AB$43</c:f>
              <c:strCache>
                <c:ptCount val="1"/>
                <c:pt idx="0">
                  <c:v>POSITIVAS 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Hoja1!$AB$44:$AB$49</c:f>
              <c:numCache>
                <c:formatCode>0.00%</c:formatCode>
                <c:ptCount val="6"/>
                <c:pt idx="0">
                  <c:v>0.44064665127020786</c:v>
                </c:pt>
                <c:pt idx="1">
                  <c:v>0.35696202531645571</c:v>
                </c:pt>
                <c:pt idx="2">
                  <c:v>0.44026886648334862</c:v>
                </c:pt>
                <c:pt idx="3">
                  <c:v>0.41131567130669061</c:v>
                </c:pt>
                <c:pt idx="4">
                  <c:v>0.4802816901408451</c:v>
                </c:pt>
                <c:pt idx="5">
                  <c:v>0.43249714937286204</c:v>
                </c:pt>
              </c:numCache>
            </c:numRef>
          </c:val>
        </c:ser>
        <c:ser>
          <c:idx val="4"/>
          <c:order val="4"/>
          <c:tx>
            <c:strRef>
              <c:f>Hoja1!$AC$43</c:f>
              <c:strCache>
                <c:ptCount val="1"/>
                <c:pt idx="0">
                  <c:v>POSITIVAS M</c:v>
                </c:pt>
              </c:strCache>
            </c:strRef>
          </c:tx>
          <c:spPr>
            <a:solidFill>
              <a:srgbClr val="8000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Hoja1!$AC$44:$AC$49</c:f>
              <c:numCache>
                <c:formatCode>0.00%</c:formatCode>
                <c:ptCount val="6"/>
                <c:pt idx="0">
                  <c:v>0.36345966958211856</c:v>
                </c:pt>
                <c:pt idx="1">
                  <c:v>0.19940476190476192</c:v>
                </c:pt>
                <c:pt idx="2">
                  <c:v>0.35188679245283017</c:v>
                </c:pt>
                <c:pt idx="3">
                  <c:v>0.2651136993899057</c:v>
                </c:pt>
                <c:pt idx="4">
                  <c:v>0.24601769911504426</c:v>
                </c:pt>
                <c:pt idx="5">
                  <c:v>0.29856040058418526</c:v>
                </c:pt>
              </c:numCache>
            </c:numRef>
          </c:val>
        </c:ser>
        <c:ser>
          <c:idx val="5"/>
          <c:order val="5"/>
          <c:tx>
            <c:strRef>
              <c:f>Hoja1!$AD$43</c:f>
              <c:strCache>
                <c:ptCount val="1"/>
                <c:pt idx="0">
                  <c:v>DIFERENCIAL</c:v>
                </c:pt>
              </c:strCache>
            </c:strRef>
          </c:tx>
          <c:spPr>
            <a:solidFill>
              <a:srgbClr val="CC00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Hoja1!$X$44:$X$49</c:f>
              <c:strCache>
                <c:ptCount val="6"/>
                <c:pt idx="0">
                  <c:v>CIENCIAS</c:v>
                </c:pt>
                <c:pt idx="1">
                  <c:v>CIENCIAS DE LA SALUD</c:v>
                </c:pt>
                <c:pt idx="2">
                  <c:v>INGENIERIAS Y ARQUITECTURA</c:v>
                </c:pt>
                <c:pt idx="3">
                  <c:v>CIENCIAS SOCIALES Y JURÍDICAS</c:v>
                </c:pt>
                <c:pt idx="4">
                  <c:v>ARTES Y HUMANIDADES</c:v>
                </c:pt>
                <c:pt idx="5">
                  <c:v>TOTAL</c:v>
                </c:pt>
              </c:strCache>
            </c:strRef>
          </c:cat>
          <c:val>
            <c:numRef>
              <c:f>Hoja1!$AD$44:$AD$49</c:f>
              <c:numCache>
                <c:formatCode>0.00%</c:formatCode>
                <c:ptCount val="6"/>
                <c:pt idx="0">
                  <c:v>-7.7186981688089296E-2</c:v>
                </c:pt>
                <c:pt idx="1">
                  <c:v>-0.15755726341169379</c:v>
                </c:pt>
                <c:pt idx="2">
                  <c:v>-8.8382074030518454E-2</c:v>
                </c:pt>
                <c:pt idx="3">
                  <c:v>-0.14620197191678491</c:v>
                </c:pt>
                <c:pt idx="4">
                  <c:v>-0.23426399102580084</c:v>
                </c:pt>
                <c:pt idx="5">
                  <c:v>-0.13393674878867678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15358912"/>
        <c:axId val="1115360544"/>
      </c:barChart>
      <c:catAx>
        <c:axId val="111535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15360544"/>
        <c:crosses val="autoZero"/>
        <c:auto val="1"/>
        <c:lblAlgn val="ctr"/>
        <c:lblOffset val="100"/>
        <c:noMultiLvlLbl val="0"/>
      </c:catAx>
      <c:valAx>
        <c:axId val="111536054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11535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953545629805E-2"/>
          <c:y val="0.22555910543130991"/>
          <c:w val="0.89999990709125965"/>
          <c:h val="7.18854871575557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kWa6iIayFtF5HfhFiNIcB9MWA==">AMUW2mVdU4HRkRYPFQPPGIeDz6znFEUdDP35L4PQfv6CkFK8+ad6VgxvkyM0cYhEdROlrmSo248xHWbmNHQs3WzLc5X4sFBsCdN1ir79e5U9kATln/NiYtb0b7lZT+jOdF3j5h3dakgtNBP4fFKmaLa8iqISen6g9Q==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2020-05-26T15:22:00Z</dcterms:created>
  <dcterms:modified xsi:type="dcterms:W3CDTF">2020-05-26T15:22:00Z</dcterms:modified>
</cp:coreProperties>
</file>