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ED25" w14:textId="77777777" w:rsidR="00EB57E0" w:rsidRPr="00D034D9" w:rsidRDefault="00EB57E0" w:rsidP="00EB57E0">
      <w:pPr>
        <w:spacing w:after="240" w:line="300" w:lineRule="exact"/>
        <w:jc w:val="both"/>
        <w:rPr>
          <w:rFonts w:asciiTheme="majorHAnsi" w:hAnsiTheme="majorHAnsi" w:cs="Arial"/>
          <w:b/>
          <w:color w:val="00B050"/>
          <w:sz w:val="24"/>
          <w:szCs w:val="24"/>
          <w:lang w:val="es-ES"/>
        </w:rPr>
      </w:pPr>
      <w:bookmarkStart w:id="0" w:name="_GoBack"/>
      <w:bookmarkEnd w:id="0"/>
    </w:p>
    <w:p w14:paraId="7CEDABB8" w14:textId="77777777" w:rsidR="00292230" w:rsidRPr="00BE14F7" w:rsidRDefault="00292230" w:rsidP="00CF6E2F">
      <w:pPr>
        <w:spacing w:after="240" w:line="360" w:lineRule="exact"/>
        <w:jc w:val="center"/>
        <w:rPr>
          <w:rFonts w:asciiTheme="majorHAnsi" w:hAnsiTheme="majorHAnsi" w:cstheme="minorHAnsi"/>
          <w:b/>
          <w:color w:val="008080"/>
          <w:sz w:val="32"/>
          <w:szCs w:val="32"/>
          <w:lang w:val="es-ES"/>
        </w:rPr>
      </w:pPr>
      <w:r w:rsidRPr="00BE14F7">
        <w:rPr>
          <w:rFonts w:asciiTheme="majorHAnsi" w:hAnsiTheme="majorHAnsi" w:cstheme="minorHAnsi"/>
          <w:b/>
          <w:color w:val="008080"/>
          <w:sz w:val="32"/>
          <w:szCs w:val="32"/>
          <w:lang w:val="es-ES"/>
        </w:rPr>
        <w:t>Abiertas las inscripciones al Foro Científico-Empresarial Aragonés, QUIMIARAGÓN 2019</w:t>
      </w:r>
    </w:p>
    <w:p w14:paraId="44E1B425" w14:textId="77777777" w:rsidR="00292230" w:rsidRPr="00BE14F7" w:rsidRDefault="00292230" w:rsidP="00292230">
      <w:pPr>
        <w:rPr>
          <w:rFonts w:asciiTheme="majorHAnsi" w:hAnsiTheme="majorHAnsi" w:cs="Arial"/>
          <w:b/>
          <w:sz w:val="24"/>
          <w:szCs w:val="24"/>
        </w:rPr>
      </w:pPr>
    </w:p>
    <w:p w14:paraId="499ECB98" w14:textId="77777777" w:rsidR="00CF6E2F" w:rsidRPr="00BE14F7" w:rsidRDefault="00CF6E2F" w:rsidP="00CF6E2F">
      <w:pPr>
        <w:pStyle w:val="Prrafodelista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14:paraId="21C8C47D" w14:textId="54E0675C" w:rsidR="00292230" w:rsidRPr="00BE14F7" w:rsidRDefault="00B679B1" w:rsidP="00CF6E2F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i/>
          <w:sz w:val="24"/>
          <w:szCs w:val="24"/>
        </w:rPr>
      </w:pPr>
      <w:r w:rsidRPr="00BE14F7">
        <w:rPr>
          <w:rFonts w:asciiTheme="majorHAnsi" w:hAnsiTheme="majorHAnsi" w:cs="Arial"/>
          <w:sz w:val="24"/>
          <w:szCs w:val="24"/>
        </w:rPr>
        <w:t xml:space="preserve">El foro, </w:t>
      </w:r>
      <w:r w:rsidRPr="00071E34">
        <w:rPr>
          <w:rFonts w:asciiTheme="majorHAnsi" w:hAnsiTheme="majorHAnsi" w:cs="Arial"/>
          <w:b/>
          <w:sz w:val="24"/>
          <w:szCs w:val="24"/>
        </w:rPr>
        <w:t>dirigido a empresarios e investigadores que utilizan o tra</w:t>
      </w:r>
      <w:r>
        <w:rPr>
          <w:rFonts w:asciiTheme="majorHAnsi" w:hAnsiTheme="majorHAnsi" w:cs="Arial"/>
          <w:b/>
          <w:sz w:val="24"/>
          <w:szCs w:val="24"/>
        </w:rPr>
        <w:t>n</w:t>
      </w:r>
      <w:r w:rsidRPr="00071E34">
        <w:rPr>
          <w:rFonts w:asciiTheme="majorHAnsi" w:hAnsiTheme="majorHAnsi" w:cs="Arial"/>
          <w:b/>
          <w:sz w:val="24"/>
          <w:szCs w:val="24"/>
        </w:rPr>
        <w:t>sforman productos químicos</w:t>
      </w:r>
      <w:r w:rsidRPr="00BE14F7">
        <w:rPr>
          <w:rFonts w:asciiTheme="majorHAnsi" w:hAnsiTheme="majorHAnsi" w:cs="Arial"/>
          <w:sz w:val="24"/>
          <w:szCs w:val="24"/>
        </w:rPr>
        <w:t xml:space="preserve">, </w:t>
      </w:r>
      <w:r w:rsidR="00292230" w:rsidRPr="00BE14F7">
        <w:rPr>
          <w:rFonts w:asciiTheme="majorHAnsi" w:hAnsiTheme="majorHAnsi" w:cs="Arial"/>
          <w:sz w:val="24"/>
          <w:szCs w:val="24"/>
        </w:rPr>
        <w:t>ce</w:t>
      </w:r>
      <w:r w:rsidR="00BE14F7">
        <w:rPr>
          <w:rFonts w:asciiTheme="majorHAnsi" w:hAnsiTheme="majorHAnsi" w:cs="Arial"/>
          <w:sz w:val="24"/>
          <w:szCs w:val="24"/>
        </w:rPr>
        <w:t>ntrará</w:t>
      </w:r>
      <w:r>
        <w:rPr>
          <w:rFonts w:asciiTheme="majorHAnsi" w:hAnsiTheme="majorHAnsi" w:cs="Arial"/>
          <w:sz w:val="24"/>
          <w:szCs w:val="24"/>
        </w:rPr>
        <w:t xml:space="preserve"> esta edición</w:t>
      </w:r>
      <w:r w:rsidR="00BE14F7">
        <w:rPr>
          <w:rFonts w:asciiTheme="majorHAnsi" w:hAnsiTheme="majorHAnsi" w:cs="Arial"/>
          <w:sz w:val="24"/>
          <w:szCs w:val="24"/>
        </w:rPr>
        <w:t xml:space="preserve"> en</w:t>
      </w:r>
      <w:r w:rsidR="00292230" w:rsidRPr="00BE14F7">
        <w:rPr>
          <w:rFonts w:asciiTheme="majorHAnsi" w:hAnsiTheme="majorHAnsi" w:cs="Arial"/>
          <w:sz w:val="24"/>
          <w:szCs w:val="24"/>
        </w:rPr>
        <w:t xml:space="preserve"> la</w:t>
      </w:r>
      <w:r w:rsidR="00292230" w:rsidRPr="00BE14F7">
        <w:rPr>
          <w:rFonts w:asciiTheme="majorHAnsi" w:hAnsiTheme="majorHAnsi" w:cs="Arial"/>
          <w:b/>
          <w:sz w:val="24"/>
          <w:szCs w:val="24"/>
        </w:rPr>
        <w:t xml:space="preserve"> </w:t>
      </w:r>
      <w:r w:rsidR="00292230" w:rsidRPr="00BE14F7">
        <w:rPr>
          <w:rFonts w:asciiTheme="majorHAnsi" w:hAnsiTheme="majorHAnsi" w:cs="Arial"/>
          <w:b/>
          <w:bCs/>
          <w:i/>
          <w:iCs/>
          <w:sz w:val="24"/>
          <w:szCs w:val="24"/>
        </w:rPr>
        <w:t>Contribución de la Química al Desarrollo Sostenible: Agenda 2030 y ODS"</w:t>
      </w:r>
      <w:r w:rsidR="00CF6E2F" w:rsidRPr="00BE14F7">
        <w:rPr>
          <w:rFonts w:asciiTheme="majorHAnsi" w:hAnsiTheme="majorHAnsi" w:cs="Arial"/>
          <w:bCs/>
          <w:i/>
          <w:iCs/>
          <w:sz w:val="24"/>
          <w:szCs w:val="24"/>
        </w:rPr>
        <w:t>.</w:t>
      </w:r>
    </w:p>
    <w:p w14:paraId="6BF56779" w14:textId="77777777" w:rsidR="00CF6E2F" w:rsidRPr="00BE14F7" w:rsidRDefault="00CF6E2F" w:rsidP="00CF6E2F">
      <w:pPr>
        <w:jc w:val="both"/>
        <w:rPr>
          <w:rFonts w:asciiTheme="majorHAnsi" w:hAnsiTheme="majorHAnsi" w:cs="Arial"/>
          <w:i/>
          <w:sz w:val="24"/>
          <w:szCs w:val="24"/>
        </w:rPr>
      </w:pPr>
    </w:p>
    <w:p w14:paraId="2E26A91B" w14:textId="3FEA15FB" w:rsidR="00292230" w:rsidRPr="00BE14F7" w:rsidRDefault="00B679B1" w:rsidP="00D034D9">
      <w:pPr>
        <w:pStyle w:val="Prrafodelista"/>
        <w:numPr>
          <w:ilvl w:val="0"/>
          <w:numId w:val="6"/>
        </w:numPr>
        <w:spacing w:after="240" w:line="300" w:lineRule="exac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El evento </w:t>
      </w:r>
      <w:r w:rsidR="00292230" w:rsidRPr="00BE14F7">
        <w:rPr>
          <w:rFonts w:asciiTheme="majorHAnsi" w:hAnsiTheme="majorHAnsi" w:cs="Arial"/>
          <w:sz w:val="24"/>
          <w:szCs w:val="24"/>
        </w:rPr>
        <w:t xml:space="preserve">tendrá lugar el próximo </w:t>
      </w:r>
      <w:r w:rsidR="00292230" w:rsidRPr="00BE14F7">
        <w:rPr>
          <w:rFonts w:asciiTheme="majorHAnsi" w:hAnsiTheme="majorHAnsi" w:cs="Arial"/>
          <w:b/>
          <w:sz w:val="24"/>
          <w:szCs w:val="24"/>
        </w:rPr>
        <w:t>8 de noviembre</w:t>
      </w:r>
      <w:r w:rsidR="00292230" w:rsidRPr="00BE14F7">
        <w:rPr>
          <w:rFonts w:asciiTheme="majorHAnsi" w:hAnsiTheme="majorHAnsi" w:cs="Arial"/>
          <w:sz w:val="24"/>
          <w:szCs w:val="24"/>
        </w:rPr>
        <w:t xml:space="preserve"> en el Salón de Actos del </w:t>
      </w:r>
      <w:r w:rsidR="00292230" w:rsidRPr="00BE14F7">
        <w:rPr>
          <w:rFonts w:asciiTheme="majorHAnsi" w:hAnsiTheme="majorHAnsi" w:cs="Arial"/>
          <w:b/>
          <w:sz w:val="24"/>
          <w:szCs w:val="24"/>
        </w:rPr>
        <w:t>Edificio CREA</w:t>
      </w:r>
      <w:r w:rsidR="00292230" w:rsidRPr="00BE14F7">
        <w:rPr>
          <w:rFonts w:asciiTheme="majorHAnsi" w:hAnsiTheme="majorHAnsi" w:cs="Arial"/>
          <w:sz w:val="24"/>
          <w:szCs w:val="24"/>
        </w:rPr>
        <w:t xml:space="preserve">, en Zaragoza. </w:t>
      </w:r>
    </w:p>
    <w:p w14:paraId="506CE72E" w14:textId="77777777" w:rsidR="00292230" w:rsidRPr="00BE14F7" w:rsidRDefault="00292230" w:rsidP="00515853">
      <w:pPr>
        <w:spacing w:after="240" w:line="360" w:lineRule="exact"/>
        <w:jc w:val="both"/>
        <w:rPr>
          <w:rFonts w:asciiTheme="majorHAnsi" w:hAnsiTheme="majorHAnsi" w:cs="Arial"/>
          <w:b/>
          <w:color w:val="00B050"/>
          <w:sz w:val="24"/>
          <w:szCs w:val="24"/>
        </w:rPr>
      </w:pPr>
    </w:p>
    <w:p w14:paraId="7CF9D0D8" w14:textId="280CE801" w:rsidR="00292230" w:rsidRPr="00BE14F7" w:rsidRDefault="00292230" w:rsidP="00292230">
      <w:pPr>
        <w:spacing w:after="240" w:line="300" w:lineRule="exact"/>
        <w:jc w:val="both"/>
        <w:rPr>
          <w:rFonts w:asciiTheme="majorHAnsi" w:hAnsiTheme="majorHAnsi" w:cs="Arial"/>
          <w:sz w:val="24"/>
          <w:szCs w:val="24"/>
        </w:rPr>
      </w:pPr>
      <w:r w:rsidRPr="00BE14F7">
        <w:rPr>
          <w:rFonts w:asciiTheme="majorHAnsi" w:hAnsiTheme="majorHAnsi" w:cs="Arial"/>
          <w:sz w:val="24"/>
          <w:szCs w:val="24"/>
        </w:rPr>
        <w:t xml:space="preserve">(Zaragoza, 17 de octubre de 2019) El </w:t>
      </w:r>
      <w:r w:rsidRPr="00BE14F7">
        <w:rPr>
          <w:rFonts w:asciiTheme="majorHAnsi" w:hAnsiTheme="majorHAnsi" w:cs="Arial"/>
          <w:b/>
          <w:sz w:val="24"/>
          <w:szCs w:val="24"/>
        </w:rPr>
        <w:t>Instituto de Síntesis Química y Catálisis Homogénea (ISQCH)</w:t>
      </w:r>
      <w:r w:rsidRPr="00BE14F7">
        <w:rPr>
          <w:rFonts w:asciiTheme="majorHAnsi" w:hAnsiTheme="majorHAnsi" w:cs="Arial"/>
          <w:sz w:val="24"/>
          <w:szCs w:val="24"/>
        </w:rPr>
        <w:t xml:space="preserve"> –instituto mixto del Consejo Superior de</w:t>
      </w:r>
      <w:r w:rsidR="00B40A8A">
        <w:rPr>
          <w:rFonts w:asciiTheme="majorHAnsi" w:hAnsiTheme="majorHAnsi" w:cs="Arial"/>
          <w:sz w:val="24"/>
          <w:szCs w:val="24"/>
        </w:rPr>
        <w:t xml:space="preserve"> Investigaciones Científicas</w:t>
      </w:r>
      <w:r w:rsidRPr="00BE14F7">
        <w:rPr>
          <w:rFonts w:asciiTheme="majorHAnsi" w:hAnsiTheme="majorHAnsi" w:cs="Arial"/>
          <w:sz w:val="24"/>
          <w:szCs w:val="24"/>
        </w:rPr>
        <w:t xml:space="preserve"> y la Universidad de Zaragoza–, en colaboración con la Federación de Empresas Químicas y del Plástico de Aragón </w:t>
      </w:r>
      <w:r w:rsidRPr="00BE14F7">
        <w:rPr>
          <w:rFonts w:asciiTheme="majorHAnsi" w:hAnsiTheme="majorHAnsi" w:cs="Arial"/>
          <w:b/>
          <w:sz w:val="24"/>
          <w:szCs w:val="24"/>
        </w:rPr>
        <w:t>(FEQPA)</w:t>
      </w:r>
      <w:r w:rsidRPr="00BE14F7">
        <w:rPr>
          <w:rFonts w:asciiTheme="majorHAnsi" w:hAnsiTheme="majorHAnsi" w:cs="Arial"/>
          <w:sz w:val="24"/>
          <w:szCs w:val="24"/>
        </w:rPr>
        <w:t xml:space="preserve"> y la Confederación de Empresarios de Aragón </w:t>
      </w:r>
      <w:r w:rsidRPr="00BE14F7">
        <w:rPr>
          <w:rFonts w:asciiTheme="majorHAnsi" w:hAnsiTheme="majorHAnsi" w:cs="Arial"/>
          <w:b/>
          <w:sz w:val="24"/>
          <w:szCs w:val="24"/>
        </w:rPr>
        <w:t>(CEOE Aragón)</w:t>
      </w:r>
      <w:r w:rsidRPr="00BE14F7">
        <w:rPr>
          <w:rFonts w:asciiTheme="majorHAnsi" w:hAnsiTheme="majorHAnsi" w:cs="Arial"/>
          <w:sz w:val="24"/>
          <w:szCs w:val="24"/>
        </w:rPr>
        <w:t>, organiza</w:t>
      </w:r>
      <w:r w:rsidR="00BE14F7">
        <w:rPr>
          <w:rFonts w:asciiTheme="majorHAnsi" w:hAnsiTheme="majorHAnsi" w:cs="Arial"/>
          <w:sz w:val="24"/>
          <w:szCs w:val="24"/>
        </w:rPr>
        <w:t>n</w:t>
      </w:r>
      <w:r w:rsidRPr="00BE14F7">
        <w:rPr>
          <w:rFonts w:asciiTheme="majorHAnsi" w:hAnsiTheme="majorHAnsi" w:cs="Arial"/>
          <w:sz w:val="24"/>
          <w:szCs w:val="24"/>
        </w:rPr>
        <w:t xml:space="preserve">, el próximo 8 de noviembre, la tercera edición del encuentro anual </w:t>
      </w:r>
      <w:r w:rsidRPr="00BE14F7">
        <w:rPr>
          <w:rFonts w:asciiTheme="majorHAnsi" w:hAnsiTheme="majorHAnsi" w:cs="Arial"/>
          <w:b/>
          <w:sz w:val="24"/>
          <w:szCs w:val="24"/>
        </w:rPr>
        <w:t>“QUIMIARAGÓN”</w:t>
      </w:r>
      <w:r w:rsidRPr="00BE14F7">
        <w:rPr>
          <w:rFonts w:asciiTheme="majorHAnsi" w:hAnsiTheme="majorHAnsi" w:cs="Arial"/>
          <w:sz w:val="24"/>
          <w:szCs w:val="24"/>
        </w:rPr>
        <w:t xml:space="preserve">. </w:t>
      </w:r>
      <w:r w:rsidRPr="00BE14F7">
        <w:rPr>
          <w:rFonts w:asciiTheme="majorHAnsi" w:hAnsiTheme="majorHAnsi" w:cs="Arial"/>
          <w:b/>
          <w:sz w:val="24"/>
          <w:szCs w:val="24"/>
        </w:rPr>
        <w:t xml:space="preserve">Un foro científico- empresarial </w:t>
      </w:r>
      <w:r w:rsidRPr="00BE14F7">
        <w:rPr>
          <w:rFonts w:asciiTheme="majorHAnsi" w:hAnsiTheme="majorHAnsi" w:cs="Arial"/>
          <w:sz w:val="24"/>
          <w:szCs w:val="24"/>
        </w:rPr>
        <w:t xml:space="preserve">referente para el fomento de la I+D+i aragonesa que permite el </w:t>
      </w:r>
      <w:r w:rsidRPr="00BE14F7">
        <w:rPr>
          <w:rFonts w:asciiTheme="majorHAnsi" w:hAnsiTheme="majorHAnsi" w:cs="Arial"/>
          <w:b/>
          <w:sz w:val="24"/>
          <w:szCs w:val="24"/>
        </w:rPr>
        <w:t>intercambio de experiencias y la creación de sinergias entre investigadores y empresarios</w:t>
      </w:r>
      <w:r w:rsidRPr="00BE14F7">
        <w:rPr>
          <w:rFonts w:asciiTheme="majorHAnsi" w:hAnsiTheme="majorHAnsi" w:cs="Arial"/>
          <w:sz w:val="24"/>
          <w:szCs w:val="24"/>
        </w:rPr>
        <w:t>.</w:t>
      </w:r>
    </w:p>
    <w:p w14:paraId="494530F3" w14:textId="125A04B2" w:rsidR="00D034D9" w:rsidRPr="00BE14F7" w:rsidRDefault="00D056A9" w:rsidP="00BE14F7">
      <w:pPr>
        <w:spacing w:line="300" w:lineRule="exact"/>
        <w:jc w:val="both"/>
        <w:rPr>
          <w:rFonts w:asciiTheme="majorHAnsi" w:hAnsiTheme="majorHAnsi" w:cs="Arial"/>
          <w:color w:val="FF0000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</w:rPr>
        <w:t xml:space="preserve">Durante el desarrollo del evento </w:t>
      </w:r>
      <w:r w:rsidR="00D034D9" w:rsidRPr="00BE14F7">
        <w:rPr>
          <w:rFonts w:asciiTheme="majorHAnsi" w:hAnsiTheme="majorHAnsi" w:cs="Arial"/>
          <w:sz w:val="24"/>
          <w:szCs w:val="24"/>
          <w:lang w:val="es-ES"/>
        </w:rPr>
        <w:t>QUIMIARAGON 2019</w:t>
      </w:r>
      <w:r w:rsidR="00D034D9" w:rsidRPr="00BE14F7">
        <w:rPr>
          <w:rFonts w:asciiTheme="majorHAnsi" w:hAnsiTheme="majorHAnsi"/>
          <w:sz w:val="24"/>
          <w:szCs w:val="24"/>
        </w:rPr>
        <w:t xml:space="preserve"> </w:t>
      </w:r>
      <w:r w:rsidR="00B40A8A">
        <w:rPr>
          <w:rFonts w:asciiTheme="majorHAnsi" w:hAnsiTheme="majorHAnsi"/>
          <w:sz w:val="24"/>
          <w:szCs w:val="24"/>
        </w:rPr>
        <w:t xml:space="preserve">se </w:t>
      </w:r>
      <w:r w:rsidR="00D034D9" w:rsidRPr="00BE14F7">
        <w:rPr>
          <w:rFonts w:asciiTheme="majorHAnsi" w:hAnsiTheme="majorHAnsi" w:cs="Arial"/>
          <w:b/>
          <w:sz w:val="24"/>
          <w:szCs w:val="24"/>
          <w:lang w:val="es-ES"/>
        </w:rPr>
        <w:t>mostrar</w:t>
      </w:r>
      <w:r w:rsidR="00B40A8A">
        <w:rPr>
          <w:rFonts w:asciiTheme="majorHAnsi" w:hAnsiTheme="majorHAnsi" w:cs="Arial"/>
          <w:b/>
          <w:sz w:val="24"/>
          <w:szCs w:val="24"/>
          <w:lang w:val="es-ES"/>
        </w:rPr>
        <w:t>á</w:t>
      </w:r>
      <w:r w:rsidR="00D034D9" w:rsidRPr="00BE14F7">
        <w:rPr>
          <w:rFonts w:asciiTheme="majorHAnsi" w:hAnsiTheme="majorHAnsi" w:cs="Arial"/>
          <w:b/>
          <w:sz w:val="24"/>
          <w:szCs w:val="24"/>
          <w:lang w:val="es-ES"/>
        </w:rPr>
        <w:t xml:space="preserve"> el extraordinario potencial de la Química en el camino hacia los Objetivos de Desarrollo Sostenible</w:t>
      </w:r>
      <w:r w:rsidR="00BE14F7">
        <w:rPr>
          <w:rFonts w:asciiTheme="majorHAnsi" w:hAnsiTheme="majorHAnsi" w:cs="Arial"/>
          <w:b/>
          <w:sz w:val="24"/>
          <w:szCs w:val="24"/>
          <w:lang w:val="es-ES"/>
        </w:rPr>
        <w:t xml:space="preserve"> (ODS)</w:t>
      </w:r>
      <w:r w:rsidR="00D034D9" w:rsidRPr="00BE14F7">
        <w:rPr>
          <w:rFonts w:asciiTheme="majorHAnsi" w:hAnsiTheme="majorHAnsi" w:cs="Arial"/>
          <w:b/>
          <w:sz w:val="24"/>
          <w:szCs w:val="24"/>
          <w:lang w:val="es-ES"/>
        </w:rPr>
        <w:t>, incluidos en la Agenda 2030</w:t>
      </w:r>
      <w:r w:rsidR="00BE14F7">
        <w:rPr>
          <w:rFonts w:asciiTheme="majorHAnsi" w:hAnsiTheme="majorHAnsi" w:cs="Arial"/>
          <w:sz w:val="24"/>
          <w:szCs w:val="24"/>
          <w:lang w:val="es-ES"/>
        </w:rPr>
        <w:t xml:space="preserve"> adoptados</w:t>
      </w:r>
      <w:r w:rsidR="00D034D9" w:rsidRPr="00BE14F7">
        <w:rPr>
          <w:rFonts w:asciiTheme="majorHAnsi" w:hAnsiTheme="majorHAnsi" w:cs="Arial"/>
          <w:sz w:val="24"/>
          <w:szCs w:val="24"/>
          <w:lang w:val="es-ES"/>
        </w:rPr>
        <w:t xml:space="preserve"> por Naciones Unidas. </w:t>
      </w:r>
      <w:r w:rsidR="00BE14F7">
        <w:rPr>
          <w:rFonts w:asciiTheme="majorHAnsi" w:hAnsiTheme="majorHAnsi" w:cs="Arial"/>
          <w:sz w:val="24"/>
          <w:szCs w:val="24"/>
          <w:lang w:val="es-ES"/>
        </w:rPr>
        <w:t>Un área, en la que el ISQCH</w:t>
      </w:r>
      <w:r w:rsidR="00B679B1">
        <w:rPr>
          <w:rFonts w:asciiTheme="majorHAnsi" w:hAnsiTheme="majorHAnsi" w:cs="Arial"/>
          <w:sz w:val="24"/>
          <w:szCs w:val="24"/>
          <w:lang w:val="es-ES"/>
        </w:rPr>
        <w:t>, organizador del evento,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D034D9" w:rsidRPr="00BE14F7">
        <w:rPr>
          <w:rFonts w:asciiTheme="majorHAnsi" w:hAnsiTheme="majorHAnsi"/>
          <w:bCs/>
          <w:iCs/>
          <w:sz w:val="24"/>
          <w:szCs w:val="24"/>
        </w:rPr>
        <w:t>es un referente</w:t>
      </w:r>
      <w:r w:rsidR="00071E34">
        <w:rPr>
          <w:rFonts w:asciiTheme="majorHAnsi" w:hAnsiTheme="majorHAnsi"/>
          <w:bCs/>
          <w:iCs/>
          <w:sz w:val="24"/>
          <w:szCs w:val="24"/>
        </w:rPr>
        <w:t xml:space="preserve"> internacional</w:t>
      </w:r>
      <w:r w:rsidR="00D034D9" w:rsidRPr="00BE14F7">
        <w:rPr>
          <w:rFonts w:asciiTheme="majorHAnsi" w:hAnsiTheme="majorHAnsi"/>
          <w:bCs/>
          <w:iCs/>
          <w:sz w:val="24"/>
          <w:szCs w:val="24"/>
        </w:rPr>
        <w:t>:</w:t>
      </w:r>
      <w:r w:rsidR="00D034D9" w:rsidRPr="00BE14F7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D034D9" w:rsidRPr="00BE14F7">
        <w:rPr>
          <w:rFonts w:asciiTheme="majorHAnsi" w:hAnsiTheme="majorHAnsi" w:cs="Arial"/>
          <w:b/>
          <w:bCs/>
          <w:iCs/>
          <w:sz w:val="24"/>
          <w:szCs w:val="24"/>
        </w:rPr>
        <w:t>“</w:t>
      </w:r>
      <w:r w:rsidR="00D034D9" w:rsidRPr="00BE14F7">
        <w:rPr>
          <w:rFonts w:asciiTheme="majorHAnsi" w:hAnsiTheme="majorHAnsi" w:cs="Arial"/>
          <w:sz w:val="24"/>
          <w:szCs w:val="24"/>
        </w:rPr>
        <w:t>muchas de nuestras líneas de investigación más punteras se focalizan en la Química Sostenible (Química verde), área científica clave en l</w:t>
      </w:r>
      <w:r w:rsidR="00BE14F7">
        <w:rPr>
          <w:rFonts w:asciiTheme="majorHAnsi" w:hAnsiTheme="majorHAnsi" w:cs="Arial"/>
          <w:sz w:val="24"/>
          <w:szCs w:val="24"/>
        </w:rPr>
        <w:t>a consecución de los Objetivos</w:t>
      </w:r>
      <w:r w:rsidR="00D034D9" w:rsidRPr="00BE14F7">
        <w:rPr>
          <w:rFonts w:asciiTheme="majorHAnsi" w:hAnsiTheme="majorHAnsi" w:cs="Arial"/>
          <w:sz w:val="24"/>
          <w:szCs w:val="24"/>
        </w:rPr>
        <w:t xml:space="preserve"> de la Agenda 2030, ya que </w:t>
      </w:r>
      <w:r w:rsidR="00D034D9" w:rsidRPr="00BE14F7">
        <w:rPr>
          <w:rFonts w:asciiTheme="majorHAnsi" w:hAnsiTheme="majorHAnsi" w:cs="Arial"/>
          <w:b/>
          <w:sz w:val="24"/>
          <w:szCs w:val="24"/>
        </w:rPr>
        <w:t>evita el diseño de productos y procesos químicos nocivos para las personas y el medio ambiente</w:t>
      </w:r>
      <w:r>
        <w:rPr>
          <w:rFonts w:asciiTheme="majorHAnsi" w:hAnsiTheme="majorHAnsi" w:cs="Arial"/>
          <w:sz w:val="24"/>
          <w:szCs w:val="24"/>
        </w:rPr>
        <w:t>” – comenta Fernando Lahoz, director del ISQCH.</w:t>
      </w:r>
    </w:p>
    <w:p w14:paraId="4D7C25E0" w14:textId="5587794C" w:rsidR="00D034D9" w:rsidRPr="00BE14F7" w:rsidRDefault="00D034D9" w:rsidP="00BE14F7">
      <w:pPr>
        <w:spacing w:line="300" w:lineRule="exact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14:paraId="00480FA7" w14:textId="713FAA2B" w:rsidR="00EB57E0" w:rsidRPr="00BE14F7" w:rsidRDefault="00EB57E0" w:rsidP="00EB57E0">
      <w:pPr>
        <w:spacing w:after="240" w:line="300" w:lineRule="exact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BE14F7">
        <w:rPr>
          <w:rFonts w:asciiTheme="majorHAnsi" w:hAnsiTheme="majorHAnsi" w:cs="Arial"/>
          <w:sz w:val="24"/>
          <w:szCs w:val="24"/>
          <w:lang w:val="es-ES"/>
        </w:rPr>
        <w:t>El evento se encuentra abierto a la participación de cualquier empresa o cent</w:t>
      </w:r>
      <w:r w:rsidR="00D034D9" w:rsidRPr="00BE14F7">
        <w:rPr>
          <w:rFonts w:asciiTheme="majorHAnsi" w:hAnsiTheme="majorHAnsi" w:cs="Arial"/>
          <w:sz w:val="24"/>
          <w:szCs w:val="24"/>
          <w:lang w:val="es-ES"/>
        </w:rPr>
        <w:t>ro de investigación relacionado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, en mayor o menor medida, con procesos químicos. “Dado que la Química es una ciencia central, este foro debe ser también útil para todos los sectores científico-técnológicos próximos, como el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>agroquímico</w:t>
      </w:r>
      <w:r w:rsidR="00735720" w:rsidRPr="00BE14F7">
        <w:rPr>
          <w:rFonts w:asciiTheme="majorHAnsi" w:hAnsiTheme="majorHAnsi" w:cs="Arial"/>
          <w:b/>
          <w:sz w:val="24"/>
          <w:szCs w:val="24"/>
          <w:lang w:val="es-ES"/>
        </w:rPr>
        <w:t>,</w:t>
      </w:r>
      <w:r w:rsidRPr="00C36F1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D056A9">
        <w:rPr>
          <w:rFonts w:asciiTheme="majorHAnsi" w:hAnsiTheme="majorHAnsi" w:cs="Arial"/>
          <w:b/>
          <w:sz w:val="24"/>
          <w:szCs w:val="24"/>
          <w:lang w:val="es-ES"/>
        </w:rPr>
        <w:t>alimentario</w:t>
      </w:r>
      <w:r w:rsidR="00735720"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>farmacéutico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735720" w:rsidRPr="00BE14F7">
        <w:rPr>
          <w:rFonts w:asciiTheme="majorHAnsi" w:hAnsiTheme="majorHAnsi" w:cs="Arial"/>
          <w:b/>
          <w:sz w:val="24"/>
          <w:szCs w:val="24"/>
          <w:lang w:val="es-ES"/>
        </w:rPr>
        <w:t>energético</w:t>
      </w:r>
      <w:r w:rsidR="00735720"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D056A9">
        <w:rPr>
          <w:rFonts w:asciiTheme="majorHAnsi" w:hAnsiTheme="majorHAnsi" w:cs="Arial"/>
          <w:sz w:val="24"/>
          <w:szCs w:val="24"/>
          <w:lang w:val="es-ES"/>
        </w:rPr>
        <w:t xml:space="preserve">los </w:t>
      </w:r>
      <w:r w:rsidR="00D056A9" w:rsidRPr="00D056A9">
        <w:rPr>
          <w:rFonts w:asciiTheme="majorHAnsi" w:hAnsiTheme="majorHAnsi" w:cs="Arial"/>
          <w:b/>
          <w:sz w:val="24"/>
          <w:szCs w:val="24"/>
          <w:lang w:val="es-ES"/>
        </w:rPr>
        <w:t>materiales</w:t>
      </w:r>
      <w:r w:rsidR="00D056A9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la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 xml:space="preserve">nanotecnología, </w:t>
      </w:r>
      <w:r w:rsidR="00735720" w:rsidRPr="00BE14F7">
        <w:rPr>
          <w:rFonts w:asciiTheme="majorHAnsi" w:hAnsiTheme="majorHAnsi" w:cs="Arial"/>
          <w:sz w:val="24"/>
          <w:szCs w:val="24"/>
          <w:lang w:val="es-ES"/>
        </w:rPr>
        <w:t xml:space="preserve">ó 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los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>cosméticos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, entre </w:t>
      </w:r>
      <w:r w:rsidR="00BF6095" w:rsidRPr="00BE14F7">
        <w:rPr>
          <w:rFonts w:asciiTheme="majorHAnsi" w:hAnsiTheme="majorHAnsi" w:cs="Arial"/>
          <w:sz w:val="24"/>
          <w:szCs w:val="24"/>
          <w:lang w:val="es-ES"/>
        </w:rPr>
        <w:t xml:space="preserve">muchos </w:t>
      </w:r>
      <w:r w:rsidRPr="00BE14F7">
        <w:rPr>
          <w:rFonts w:asciiTheme="majorHAnsi" w:hAnsiTheme="majorHAnsi" w:cs="Arial"/>
          <w:sz w:val="24"/>
          <w:szCs w:val="24"/>
          <w:lang w:val="es-ES"/>
        </w:rPr>
        <w:t>otros, además de todos aquellos que quieran mejorar sus procedimientos para que sean más eficaces o medioambientalmente más sostenibles”, explican desde la organización.</w:t>
      </w:r>
    </w:p>
    <w:p w14:paraId="678D2B0B" w14:textId="3EFC3E44" w:rsidR="00EB57E0" w:rsidRPr="00BE14F7" w:rsidRDefault="00EB57E0" w:rsidP="00EB57E0">
      <w:pPr>
        <w:spacing w:after="240" w:line="300" w:lineRule="exact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BE14F7">
        <w:rPr>
          <w:rFonts w:asciiTheme="majorHAnsi" w:hAnsiTheme="majorHAnsi" w:cs="Arial"/>
          <w:sz w:val="24"/>
          <w:szCs w:val="24"/>
          <w:lang w:val="es-ES"/>
        </w:rPr>
        <w:t>QUIMI</w:t>
      </w:r>
      <w:r w:rsidR="00D20976" w:rsidRPr="00BE14F7">
        <w:rPr>
          <w:rFonts w:asciiTheme="majorHAnsi" w:hAnsiTheme="majorHAnsi" w:cs="Arial"/>
          <w:sz w:val="24"/>
          <w:szCs w:val="24"/>
          <w:lang w:val="es-ES"/>
        </w:rPr>
        <w:t>ARAGÓN 2019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 contará con un programa de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 xml:space="preserve">ponencias en las que investigadores y empresarios relatarán brevemente sus experiencias de colaboración, </w:t>
      </w:r>
      <w:r w:rsidR="00D20976" w:rsidRPr="00BE14F7">
        <w:rPr>
          <w:rFonts w:asciiTheme="majorHAnsi" w:hAnsiTheme="majorHAnsi" w:cs="Arial"/>
          <w:b/>
          <w:sz w:val="24"/>
          <w:szCs w:val="24"/>
          <w:lang w:val="es-ES"/>
        </w:rPr>
        <w:t>además de los pas</w:t>
      </w:r>
      <w:r w:rsidR="00735720" w:rsidRPr="00BE14F7">
        <w:rPr>
          <w:rFonts w:asciiTheme="majorHAnsi" w:hAnsiTheme="majorHAnsi" w:cs="Arial"/>
          <w:b/>
          <w:sz w:val="24"/>
          <w:szCs w:val="24"/>
          <w:lang w:val="es-ES"/>
        </w:rPr>
        <w:t>os que han seguido para la consecución</w:t>
      </w:r>
      <w:r w:rsidR="00D20976" w:rsidRPr="00BE14F7">
        <w:rPr>
          <w:rFonts w:asciiTheme="majorHAnsi" w:hAnsiTheme="majorHAnsi" w:cs="Arial"/>
          <w:b/>
          <w:sz w:val="24"/>
          <w:szCs w:val="24"/>
          <w:lang w:val="es-ES"/>
        </w:rPr>
        <w:t xml:space="preserve"> de los Objetivos de Desarrollo Sostenible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. </w:t>
      </w:r>
      <w:r w:rsidR="00071E34">
        <w:rPr>
          <w:rFonts w:asciiTheme="majorHAnsi" w:hAnsiTheme="majorHAnsi" w:cs="Arial"/>
          <w:sz w:val="24"/>
          <w:szCs w:val="24"/>
          <w:lang w:val="es-ES"/>
        </w:rPr>
        <w:t>Además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 se han articulado unos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>“encuentros bilaterales”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 privados breves, de cinco a diez </w:t>
      </w:r>
      <w:r w:rsidRPr="00BE14F7">
        <w:rPr>
          <w:rFonts w:asciiTheme="majorHAnsi" w:hAnsiTheme="majorHAnsi" w:cs="Arial"/>
          <w:sz w:val="24"/>
          <w:szCs w:val="24"/>
          <w:lang w:val="es-ES"/>
        </w:rPr>
        <w:lastRenderedPageBreak/>
        <w:t>minutos, entre responsables de empresas y científicos con objeto de favorecer la creación colaboraciones y sinergias para el desarrollo de proyectos conjuntos, convenios para la formación de personal, acuerdos de cooperación técnica o cualquier forma de relación que las empresas o los científicos deseen incentivar.</w:t>
      </w:r>
    </w:p>
    <w:p w14:paraId="2DB939BD" w14:textId="1327E814" w:rsidR="00EB57E0" w:rsidRPr="00BE14F7" w:rsidRDefault="00D20976" w:rsidP="00EB57E0">
      <w:pPr>
        <w:spacing w:after="240" w:line="300" w:lineRule="exact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BE14F7">
        <w:rPr>
          <w:rFonts w:asciiTheme="majorHAnsi" w:hAnsiTheme="majorHAnsi" w:cs="Arial"/>
          <w:sz w:val="24"/>
          <w:szCs w:val="24"/>
          <w:lang w:val="es-ES"/>
        </w:rPr>
        <w:t>El evento de QUIMIARAGON 2019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 xml:space="preserve"> cuenta con la participación de representantes de la Federación Empresarial de la Industria Química Española (</w:t>
      </w:r>
      <w:r w:rsidR="00EB57E0" w:rsidRPr="00BE14F7">
        <w:rPr>
          <w:rFonts w:asciiTheme="majorHAnsi" w:hAnsiTheme="majorHAnsi" w:cs="Arial"/>
          <w:b/>
          <w:sz w:val="24"/>
          <w:szCs w:val="24"/>
        </w:rPr>
        <w:t>FEIQUE</w:t>
      </w:r>
      <w:r w:rsidR="00EB57E0" w:rsidRPr="00BE14F7">
        <w:rPr>
          <w:rFonts w:asciiTheme="majorHAnsi" w:hAnsiTheme="majorHAnsi" w:cs="Arial"/>
          <w:sz w:val="24"/>
          <w:szCs w:val="24"/>
        </w:rPr>
        <w:t>)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9C00E5" w:rsidRPr="00BE14F7">
        <w:rPr>
          <w:rFonts w:asciiTheme="majorHAnsi" w:hAnsiTheme="majorHAnsi" w:cs="Arial"/>
          <w:sz w:val="24"/>
          <w:szCs w:val="24"/>
          <w:lang w:val="es-ES"/>
        </w:rPr>
        <w:t>de la Fundación Ecología y Desarrollo (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ECODES</w:t>
      </w:r>
      <w:r w:rsidR="009C00E5" w:rsidRPr="00BE14F7">
        <w:rPr>
          <w:rFonts w:asciiTheme="majorHAnsi" w:hAnsiTheme="majorHAnsi" w:cs="Arial"/>
          <w:sz w:val="24"/>
          <w:szCs w:val="24"/>
          <w:lang w:val="es-ES"/>
        </w:rPr>
        <w:t xml:space="preserve">), 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>así como de distintos institutos de investigación aragoneses Instituto de Síntesis Química y Catálisis Homogénea (</w:t>
      </w:r>
      <w:r w:rsidR="00EB57E0" w:rsidRPr="00BE14F7">
        <w:rPr>
          <w:rFonts w:asciiTheme="majorHAnsi" w:hAnsiTheme="majorHAnsi" w:cs="Arial"/>
          <w:b/>
          <w:sz w:val="24"/>
          <w:szCs w:val="24"/>
          <w:lang w:val="es-ES"/>
        </w:rPr>
        <w:t>ISQCH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 xml:space="preserve">), </w:t>
      </w:r>
      <w:r w:rsidR="009C00E5" w:rsidRPr="00BE14F7">
        <w:rPr>
          <w:rFonts w:asciiTheme="majorHAnsi" w:hAnsiTheme="majorHAnsi" w:cs="Arial"/>
          <w:sz w:val="24"/>
          <w:szCs w:val="24"/>
          <w:lang w:val="es-ES"/>
        </w:rPr>
        <w:t xml:space="preserve">Instituto Pirenaico de Ecología </w:t>
      </w:r>
      <w:r w:rsidR="009C00E5" w:rsidRPr="00D056A9">
        <w:rPr>
          <w:rFonts w:asciiTheme="majorHAnsi" w:hAnsiTheme="majorHAnsi" w:cs="Arial"/>
          <w:sz w:val="24"/>
          <w:szCs w:val="24"/>
          <w:lang w:val="es-ES"/>
        </w:rPr>
        <w:t>(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IPE</w:t>
      </w:r>
      <w:r w:rsidR="009C00E5" w:rsidRPr="00BE14F7">
        <w:rPr>
          <w:rFonts w:asciiTheme="majorHAnsi" w:hAnsiTheme="majorHAnsi" w:cs="Arial"/>
          <w:sz w:val="24"/>
          <w:szCs w:val="24"/>
          <w:lang w:val="es-ES"/>
        </w:rPr>
        <w:t>)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 xml:space="preserve"> y de las empresas </w:t>
      </w:r>
      <w:r w:rsidR="00CF6E2F" w:rsidRPr="00BE14F7">
        <w:rPr>
          <w:rFonts w:asciiTheme="majorHAnsi" w:hAnsiTheme="majorHAnsi" w:cs="Arial"/>
          <w:b/>
          <w:sz w:val="24"/>
          <w:szCs w:val="24"/>
          <w:lang w:val="es-ES"/>
        </w:rPr>
        <w:t>WIREC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SAICA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NOVAPEC</w:t>
      </w:r>
      <w:r w:rsidR="00EB57E0"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ERCROS</w:t>
      </w:r>
      <w:r w:rsidR="009C00E5" w:rsidRPr="00BE14F7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CF6E2F" w:rsidRPr="00BE14F7">
        <w:rPr>
          <w:rFonts w:asciiTheme="majorHAnsi" w:hAnsiTheme="majorHAnsi" w:cs="Arial"/>
          <w:b/>
          <w:sz w:val="24"/>
          <w:szCs w:val="24"/>
          <w:lang w:val="es-ES"/>
        </w:rPr>
        <w:t>CINGRAL</w:t>
      </w:r>
      <w:r w:rsidR="009C00E5" w:rsidRPr="00BE14F7">
        <w:rPr>
          <w:rFonts w:asciiTheme="majorHAnsi" w:hAnsiTheme="majorHAnsi" w:cs="Arial"/>
          <w:sz w:val="24"/>
          <w:szCs w:val="24"/>
          <w:lang w:val="es-ES"/>
        </w:rPr>
        <w:t>.</w:t>
      </w:r>
    </w:p>
    <w:p w14:paraId="35E8C960" w14:textId="12E055AA" w:rsidR="00EB57E0" w:rsidRPr="00071E34" w:rsidRDefault="00EB57E0" w:rsidP="00EB57E0">
      <w:pPr>
        <w:spacing w:after="240" w:line="300" w:lineRule="exact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El evento se cerrará </w:t>
      </w:r>
      <w:r w:rsidR="00C36F19">
        <w:rPr>
          <w:rFonts w:asciiTheme="majorHAnsi" w:hAnsiTheme="majorHAnsi" w:cs="Arial"/>
          <w:sz w:val="24"/>
          <w:szCs w:val="24"/>
          <w:lang w:val="es-ES"/>
        </w:rPr>
        <w:t xml:space="preserve">con una </w:t>
      </w:r>
      <w:r w:rsidR="00071E34">
        <w:rPr>
          <w:rFonts w:asciiTheme="majorHAnsi" w:hAnsiTheme="majorHAnsi" w:cs="Arial"/>
          <w:sz w:val="24"/>
          <w:szCs w:val="24"/>
          <w:lang w:val="es-ES"/>
        </w:rPr>
        <w:t>breve presentación del evento “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EXPOQUIMIA 2020</w:t>
      </w:r>
      <w:r w:rsidR="00071E34">
        <w:rPr>
          <w:rFonts w:asciiTheme="majorHAnsi" w:hAnsiTheme="majorHAnsi" w:cs="Arial"/>
          <w:b/>
          <w:sz w:val="24"/>
          <w:szCs w:val="24"/>
          <w:lang w:val="es-ES"/>
        </w:rPr>
        <w:t xml:space="preserve">” </w:t>
      </w:r>
      <w:r w:rsidR="00071E34" w:rsidRPr="00071E34">
        <w:rPr>
          <w:rFonts w:asciiTheme="majorHAnsi" w:hAnsiTheme="majorHAnsi" w:cs="Arial"/>
          <w:sz w:val="24"/>
          <w:szCs w:val="24"/>
          <w:lang w:val="es-ES"/>
        </w:rPr>
        <w:t xml:space="preserve">que tendrá lugar en </w:t>
      </w:r>
      <w:r w:rsidR="00071E34">
        <w:rPr>
          <w:rFonts w:asciiTheme="majorHAnsi" w:hAnsiTheme="majorHAnsi" w:cs="Arial"/>
          <w:sz w:val="24"/>
          <w:szCs w:val="24"/>
          <w:lang w:val="es-ES"/>
        </w:rPr>
        <w:t>junio</w:t>
      </w:r>
      <w:r w:rsidR="00D056A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071E34">
        <w:rPr>
          <w:rFonts w:asciiTheme="majorHAnsi" w:hAnsiTheme="majorHAnsi" w:cs="Arial"/>
          <w:sz w:val="24"/>
          <w:szCs w:val="24"/>
          <w:lang w:val="es-ES"/>
        </w:rPr>
        <w:t xml:space="preserve">de 2020 en </w:t>
      </w:r>
      <w:r w:rsidR="00071E34" w:rsidRPr="00071E34">
        <w:rPr>
          <w:rFonts w:asciiTheme="majorHAnsi" w:hAnsiTheme="majorHAnsi" w:cs="Arial"/>
          <w:sz w:val="24"/>
          <w:szCs w:val="24"/>
          <w:lang w:val="es-ES"/>
        </w:rPr>
        <w:t>Barcelona</w:t>
      </w:r>
      <w:r w:rsidR="009C00E5" w:rsidRPr="00071E34">
        <w:rPr>
          <w:rFonts w:asciiTheme="majorHAnsi" w:hAnsiTheme="majorHAnsi" w:cs="Arial"/>
          <w:sz w:val="24"/>
          <w:szCs w:val="24"/>
          <w:lang w:val="es-ES"/>
        </w:rPr>
        <w:t>.</w:t>
      </w:r>
    </w:p>
    <w:p w14:paraId="3E8226D1" w14:textId="505B019D" w:rsidR="00EB57E0" w:rsidRPr="00BE14F7" w:rsidRDefault="00EB57E0" w:rsidP="00EB57E0">
      <w:pPr>
        <w:spacing w:after="240" w:line="300" w:lineRule="exact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El foro tendrá lugar el próximo 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8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 xml:space="preserve"> de </w:t>
      </w:r>
      <w:r w:rsidR="009C00E5" w:rsidRPr="00BE14F7">
        <w:rPr>
          <w:rFonts w:asciiTheme="majorHAnsi" w:hAnsiTheme="majorHAnsi" w:cs="Arial"/>
          <w:b/>
          <w:sz w:val="24"/>
          <w:szCs w:val="24"/>
          <w:lang w:val="es-ES"/>
        </w:rPr>
        <w:t>noviembre de 2019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 a las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>9:00 horas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 en el </w:t>
      </w:r>
      <w:r w:rsidRPr="00BE14F7">
        <w:rPr>
          <w:rFonts w:asciiTheme="majorHAnsi" w:hAnsiTheme="majorHAnsi" w:cs="Arial"/>
          <w:b/>
          <w:sz w:val="24"/>
          <w:szCs w:val="24"/>
          <w:lang w:val="es-ES"/>
        </w:rPr>
        <w:t>Salón de Actos del Edificio CREA</w:t>
      </w:r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, en Zaragoza. Para participar es necesario realizar una </w:t>
      </w:r>
      <w:hyperlink r:id="rId9" w:history="1">
        <w:r w:rsidRPr="00BE14F7">
          <w:rPr>
            <w:rStyle w:val="Hipervnculo"/>
            <w:rFonts w:asciiTheme="majorHAnsi" w:hAnsiTheme="majorHAnsi" w:cs="Arial"/>
            <w:sz w:val="24"/>
            <w:szCs w:val="24"/>
            <w:lang w:val="es-ES"/>
          </w:rPr>
          <w:t>inscripción (gratuita)</w:t>
        </w:r>
      </w:hyperlink>
      <w:r w:rsidRPr="00BE14F7">
        <w:rPr>
          <w:rFonts w:asciiTheme="majorHAnsi" w:hAnsiTheme="majorHAnsi" w:cs="Arial"/>
          <w:sz w:val="24"/>
          <w:szCs w:val="24"/>
          <w:lang w:val="es-ES"/>
        </w:rPr>
        <w:t xml:space="preserve">, a través de la página web de la Universidad de Zaragoza, en el apartado dedicado a </w:t>
      </w:r>
      <w:hyperlink r:id="rId10" w:history="1">
        <w:r w:rsidRPr="00BE14F7">
          <w:rPr>
            <w:rStyle w:val="Hipervnculo"/>
            <w:rFonts w:asciiTheme="majorHAnsi" w:hAnsiTheme="majorHAnsi" w:cs="Arial"/>
            <w:sz w:val="24"/>
            <w:szCs w:val="24"/>
            <w:lang w:val="es-ES"/>
          </w:rPr>
          <w:t>eventos</w:t>
        </w:r>
      </w:hyperlink>
      <w:r w:rsidRPr="00BE14F7">
        <w:rPr>
          <w:rFonts w:asciiTheme="majorHAnsi" w:hAnsiTheme="majorHAnsi" w:cs="Arial"/>
          <w:sz w:val="24"/>
          <w:szCs w:val="24"/>
          <w:lang w:val="es-ES"/>
        </w:rPr>
        <w:t>.</w:t>
      </w:r>
    </w:p>
    <w:p w14:paraId="2217E995" w14:textId="77777777" w:rsidR="00EB57E0" w:rsidRPr="00BE14F7" w:rsidRDefault="00EB57E0" w:rsidP="00EB57E0">
      <w:pPr>
        <w:spacing w:after="240" w:line="300" w:lineRule="exact"/>
        <w:jc w:val="both"/>
        <w:rPr>
          <w:rFonts w:asciiTheme="majorHAnsi" w:hAnsiTheme="majorHAnsi" w:cstheme="minorHAnsi"/>
          <w:sz w:val="24"/>
          <w:szCs w:val="24"/>
          <w:lang w:val="es-ES"/>
        </w:rPr>
      </w:pPr>
    </w:p>
    <w:p w14:paraId="6FE00361" w14:textId="2D6FAEE8" w:rsidR="00EB57E0" w:rsidRPr="00BE14F7" w:rsidRDefault="00EB57E0" w:rsidP="00EB57E0">
      <w:pPr>
        <w:spacing w:after="240" w:line="300" w:lineRule="exact"/>
        <w:jc w:val="both"/>
        <w:rPr>
          <w:rFonts w:asciiTheme="majorHAnsi" w:hAnsiTheme="majorHAnsi" w:cstheme="minorHAnsi"/>
          <w:b/>
          <w:sz w:val="24"/>
          <w:szCs w:val="24"/>
          <w:u w:val="single"/>
          <w:lang w:val="es-ES"/>
        </w:rPr>
      </w:pPr>
      <w:r w:rsidRPr="00BE14F7">
        <w:rPr>
          <w:rFonts w:asciiTheme="majorHAnsi" w:hAnsiTheme="majorHAnsi" w:cstheme="minorHAnsi"/>
          <w:b/>
          <w:sz w:val="24"/>
          <w:szCs w:val="24"/>
          <w:u w:val="single"/>
          <w:lang w:val="es-ES"/>
        </w:rPr>
        <w:t>Contacto:</w:t>
      </w:r>
    </w:p>
    <w:p w14:paraId="7FEE90A1" w14:textId="77777777" w:rsidR="00EB57E0" w:rsidRPr="00BE14F7" w:rsidRDefault="00EB57E0" w:rsidP="00515853">
      <w:pPr>
        <w:spacing w:line="300" w:lineRule="exact"/>
        <w:jc w:val="both"/>
        <w:rPr>
          <w:rFonts w:asciiTheme="majorHAnsi" w:hAnsiTheme="majorHAnsi" w:cstheme="minorHAnsi"/>
          <w:b/>
          <w:sz w:val="24"/>
          <w:szCs w:val="24"/>
          <w:lang w:val="es-ES"/>
        </w:rPr>
      </w:pPr>
      <w:r w:rsidRPr="00BE14F7">
        <w:rPr>
          <w:rFonts w:asciiTheme="majorHAnsi" w:hAnsiTheme="majorHAnsi" w:cstheme="minorHAnsi"/>
          <w:b/>
          <w:sz w:val="24"/>
          <w:szCs w:val="24"/>
          <w:lang w:val="es-ES"/>
        </w:rPr>
        <w:t>Fernando Lahoz (Director ISQCH)</w:t>
      </w:r>
    </w:p>
    <w:p w14:paraId="7E2F5C02" w14:textId="77777777" w:rsidR="00EB57E0" w:rsidRPr="00BE14F7" w:rsidRDefault="00F83EFF" w:rsidP="00515853">
      <w:pPr>
        <w:spacing w:line="300" w:lineRule="exact"/>
        <w:jc w:val="both"/>
        <w:rPr>
          <w:rFonts w:asciiTheme="majorHAnsi" w:hAnsiTheme="majorHAnsi" w:cstheme="minorHAnsi"/>
          <w:b/>
          <w:sz w:val="24"/>
          <w:szCs w:val="24"/>
          <w:lang w:val="es-ES"/>
        </w:rPr>
      </w:pPr>
      <w:hyperlink r:id="rId11" w:history="1">
        <w:r w:rsidR="00EB57E0" w:rsidRPr="00BE14F7">
          <w:rPr>
            <w:rStyle w:val="Hipervnculo"/>
            <w:rFonts w:asciiTheme="majorHAnsi" w:hAnsiTheme="majorHAnsi" w:cstheme="minorHAnsi"/>
            <w:b/>
            <w:sz w:val="24"/>
            <w:szCs w:val="24"/>
            <w:lang w:val="es-ES"/>
          </w:rPr>
          <w:t>lahoz@unizar.es</w:t>
        </w:r>
      </w:hyperlink>
    </w:p>
    <w:p w14:paraId="79E9ABBD" w14:textId="77777777" w:rsidR="00EB57E0" w:rsidRPr="00BE14F7" w:rsidRDefault="00EB57E0" w:rsidP="00515853">
      <w:pPr>
        <w:spacing w:line="300" w:lineRule="exact"/>
        <w:jc w:val="both"/>
        <w:rPr>
          <w:rFonts w:asciiTheme="majorHAnsi" w:hAnsiTheme="majorHAnsi" w:cstheme="minorHAnsi"/>
          <w:b/>
          <w:sz w:val="24"/>
          <w:szCs w:val="24"/>
          <w:lang w:val="es-ES"/>
        </w:rPr>
      </w:pPr>
      <w:r w:rsidRPr="00BE14F7">
        <w:rPr>
          <w:rFonts w:asciiTheme="majorHAnsi" w:hAnsiTheme="majorHAnsi" w:cstheme="minorHAnsi"/>
          <w:b/>
          <w:sz w:val="24"/>
          <w:szCs w:val="24"/>
          <w:lang w:val="es-ES"/>
        </w:rPr>
        <w:t>Teléfono: 619 864958</w:t>
      </w:r>
    </w:p>
    <w:p w14:paraId="146E6AF9" w14:textId="77777777" w:rsidR="00EB57E0" w:rsidRPr="00BE14F7" w:rsidRDefault="00EB57E0" w:rsidP="00515853">
      <w:pPr>
        <w:spacing w:line="300" w:lineRule="exact"/>
        <w:jc w:val="both"/>
        <w:rPr>
          <w:rFonts w:asciiTheme="majorHAnsi" w:hAnsiTheme="majorHAnsi" w:cstheme="minorHAnsi"/>
          <w:b/>
          <w:sz w:val="24"/>
          <w:szCs w:val="24"/>
          <w:lang w:val="es-ES"/>
        </w:rPr>
      </w:pPr>
    </w:p>
    <w:p w14:paraId="6B0A88ED" w14:textId="77777777" w:rsidR="00EB57E0" w:rsidRPr="00BE14F7" w:rsidRDefault="00EB57E0" w:rsidP="00515853">
      <w:pPr>
        <w:spacing w:line="300" w:lineRule="exact"/>
        <w:jc w:val="both"/>
        <w:rPr>
          <w:rFonts w:asciiTheme="majorHAnsi" w:hAnsiTheme="majorHAnsi" w:cstheme="minorHAnsi"/>
          <w:b/>
          <w:sz w:val="24"/>
          <w:szCs w:val="24"/>
          <w:lang w:val="es-ES"/>
        </w:rPr>
      </w:pPr>
      <w:r w:rsidRPr="00BE14F7">
        <w:rPr>
          <w:rFonts w:asciiTheme="majorHAnsi" w:hAnsiTheme="majorHAnsi" w:cstheme="minorHAnsi"/>
          <w:b/>
          <w:sz w:val="24"/>
          <w:szCs w:val="24"/>
          <w:lang w:val="es-ES"/>
        </w:rPr>
        <w:t>Dania Todorova (Unidad de Transferencia ISQCH)</w:t>
      </w:r>
    </w:p>
    <w:p w14:paraId="0E33EE54" w14:textId="77777777" w:rsidR="00EB57E0" w:rsidRPr="00BE14F7" w:rsidRDefault="00F83EFF" w:rsidP="00515853">
      <w:pPr>
        <w:spacing w:line="300" w:lineRule="exact"/>
        <w:jc w:val="both"/>
        <w:rPr>
          <w:rFonts w:asciiTheme="majorHAnsi" w:hAnsiTheme="majorHAnsi" w:cstheme="minorHAnsi"/>
          <w:b/>
          <w:sz w:val="24"/>
          <w:szCs w:val="24"/>
          <w:lang w:val="es-ES"/>
        </w:rPr>
      </w:pPr>
      <w:hyperlink r:id="rId12" w:history="1">
        <w:r w:rsidR="00EB57E0" w:rsidRPr="00BE14F7">
          <w:rPr>
            <w:rStyle w:val="Hipervnculo"/>
            <w:rFonts w:asciiTheme="majorHAnsi" w:hAnsiTheme="majorHAnsi" w:cstheme="minorHAnsi"/>
            <w:b/>
            <w:sz w:val="24"/>
            <w:szCs w:val="24"/>
            <w:lang w:val="es-ES"/>
          </w:rPr>
          <w:t>Dania@unizar.es</w:t>
        </w:r>
      </w:hyperlink>
    </w:p>
    <w:p w14:paraId="794AB44D" w14:textId="77777777" w:rsidR="00EB57E0" w:rsidRPr="00BE14F7" w:rsidRDefault="00EB57E0" w:rsidP="00515853">
      <w:pPr>
        <w:spacing w:line="300" w:lineRule="exact"/>
        <w:jc w:val="both"/>
        <w:rPr>
          <w:rFonts w:asciiTheme="majorHAnsi" w:hAnsiTheme="majorHAnsi" w:cstheme="minorHAnsi"/>
          <w:b/>
          <w:sz w:val="24"/>
          <w:szCs w:val="24"/>
          <w:lang w:val="es-ES"/>
        </w:rPr>
      </w:pPr>
      <w:r w:rsidRPr="00BE14F7">
        <w:rPr>
          <w:rFonts w:asciiTheme="majorHAnsi" w:hAnsiTheme="majorHAnsi" w:cstheme="minorHAnsi"/>
          <w:b/>
          <w:sz w:val="24"/>
          <w:szCs w:val="24"/>
          <w:lang w:val="es-ES"/>
        </w:rPr>
        <w:t>Teléfono: 649 952306</w:t>
      </w:r>
    </w:p>
    <w:sectPr w:rsidR="00EB57E0" w:rsidRPr="00BE14F7" w:rsidSect="00B555C2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1669" w:right="1552" w:bottom="1560" w:left="1418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43888" w14:textId="77777777" w:rsidR="00F83EFF" w:rsidRDefault="00F83EFF">
      <w:r>
        <w:separator/>
      </w:r>
    </w:p>
  </w:endnote>
  <w:endnote w:type="continuationSeparator" w:id="0">
    <w:p w14:paraId="68DA39C8" w14:textId="77777777" w:rsidR="00F83EFF" w:rsidRDefault="00F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B8B9" w14:textId="1D98969D" w:rsidR="00F609A4" w:rsidRDefault="00610547">
    <w:pPr>
      <w:pStyle w:val="Piedepgina"/>
    </w:pPr>
    <w:r>
      <w:rPr>
        <w:lang w:val="es-ES" w:eastAsia="es-ES"/>
      </w:rPr>
      <w:drawing>
        <wp:anchor distT="0" distB="0" distL="114300" distR="114300" simplePos="0" relativeHeight="251663360" behindDoc="0" locked="0" layoutInCell="1" allowOverlap="1" wp14:anchorId="727BCA99" wp14:editId="01D6C4BA">
          <wp:simplePos x="0" y="0"/>
          <wp:positionH relativeFrom="column">
            <wp:posOffset>450215</wp:posOffset>
          </wp:positionH>
          <wp:positionV relativeFrom="paragraph">
            <wp:posOffset>8981440</wp:posOffset>
          </wp:positionV>
          <wp:extent cx="6383655" cy="965200"/>
          <wp:effectExtent l="0" t="0" r="0" b="0"/>
          <wp:wrapNone/>
          <wp:docPr id="16" name="Picture 16" descr="Macintosh HD:Users:blekua:Documents:Proyectos:ISQCH: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blekua:Documents:Proyectos:ISQCH: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5CCAF" w14:textId="77777777" w:rsidR="00F83EFF" w:rsidRDefault="00F83EFF">
      <w:r>
        <w:separator/>
      </w:r>
    </w:p>
  </w:footnote>
  <w:footnote w:type="continuationSeparator" w:id="0">
    <w:p w14:paraId="62BC906B" w14:textId="77777777" w:rsidR="00F83EFF" w:rsidRDefault="00F8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C548" w14:textId="77777777" w:rsidR="00F609A4" w:rsidRDefault="00610547">
    <w:pPr>
      <w:pStyle w:val="Encabezado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BC6A687" wp14:editId="4EEF4BCE">
          <wp:simplePos x="0" y="0"/>
          <wp:positionH relativeFrom="column">
            <wp:posOffset>104140</wp:posOffset>
          </wp:positionH>
          <wp:positionV relativeFrom="paragraph">
            <wp:posOffset>1145540</wp:posOffset>
          </wp:positionV>
          <wp:extent cx="695960" cy="546100"/>
          <wp:effectExtent l="0" t="0" r="0" b="12700"/>
          <wp:wrapNone/>
          <wp:docPr id="11" name="Picture 11" descr="logo segunda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gunda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58240" behindDoc="0" locked="0" layoutInCell="1" allowOverlap="1" wp14:anchorId="4D3BF19B" wp14:editId="0FB0A400">
          <wp:simplePos x="0" y="0"/>
          <wp:positionH relativeFrom="column">
            <wp:posOffset>-994410</wp:posOffset>
          </wp:positionH>
          <wp:positionV relativeFrom="paragraph">
            <wp:posOffset>3634105</wp:posOffset>
          </wp:positionV>
          <wp:extent cx="422910" cy="4490085"/>
          <wp:effectExtent l="0" t="0" r="8890" b="5715"/>
          <wp:wrapNone/>
          <wp:docPr id="13" name="Picture 13" descr="datos regist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atos registr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49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9213" w14:textId="77777777" w:rsidR="00F609A4" w:rsidRDefault="00F609A4">
    <w:pPr>
      <w:pStyle w:val="Encabezado"/>
    </w:pPr>
  </w:p>
  <w:p w14:paraId="652DA42A" w14:textId="6B8252C1" w:rsidR="00F609A4" w:rsidRDefault="008E4A73">
    <w:pPr>
      <w:pStyle w:val="Encabezado"/>
    </w:pPr>
    <w:r w:rsidRPr="008E4A73">
      <w:rPr>
        <w:lang w:val="es-ES" w:eastAsia="es-ES"/>
      </w:rPr>
      <w:drawing>
        <wp:anchor distT="0" distB="0" distL="114300" distR="114300" simplePos="0" relativeHeight="251678720" behindDoc="0" locked="0" layoutInCell="1" allowOverlap="1" wp14:anchorId="769499CF" wp14:editId="6C47A5AB">
          <wp:simplePos x="0" y="0"/>
          <wp:positionH relativeFrom="column">
            <wp:posOffset>-742413</wp:posOffset>
          </wp:positionH>
          <wp:positionV relativeFrom="paragraph">
            <wp:posOffset>53975</wp:posOffset>
          </wp:positionV>
          <wp:extent cx="1003935" cy="316230"/>
          <wp:effectExtent l="0" t="0" r="5715" b="7620"/>
          <wp:wrapNone/>
          <wp:docPr id="12" name="Imagen 12" descr="http://www.feqpa.com/images/Cabecera/Feqp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http://www.feqpa.com/images/Cabecera/Feq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A73">
      <w:rPr>
        <w:lang w:val="es-ES" w:eastAsia="es-ES"/>
      </w:rPr>
      <w:drawing>
        <wp:anchor distT="0" distB="0" distL="114300" distR="114300" simplePos="0" relativeHeight="251677696" behindDoc="0" locked="0" layoutInCell="1" allowOverlap="1" wp14:anchorId="5059DAF7" wp14:editId="45B7671B">
          <wp:simplePos x="0" y="0"/>
          <wp:positionH relativeFrom="column">
            <wp:posOffset>5306060</wp:posOffset>
          </wp:positionH>
          <wp:positionV relativeFrom="paragraph">
            <wp:posOffset>6350</wp:posOffset>
          </wp:positionV>
          <wp:extent cx="1216660" cy="457200"/>
          <wp:effectExtent l="0" t="0" r="2540" b="0"/>
          <wp:wrapNone/>
          <wp:docPr id="10" name="Imagen 10" descr="Logo CR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Logo CRE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A73">
      <w:rPr>
        <w:lang w:val="es-ES" w:eastAsia="es-ES"/>
      </w:rPr>
      <w:drawing>
        <wp:anchor distT="0" distB="0" distL="114300" distR="114300" simplePos="0" relativeHeight="251676672" behindDoc="0" locked="0" layoutInCell="1" allowOverlap="1" wp14:anchorId="246299F4" wp14:editId="7D2D1624">
          <wp:simplePos x="0" y="0"/>
          <wp:positionH relativeFrom="column">
            <wp:posOffset>1949450</wp:posOffset>
          </wp:positionH>
          <wp:positionV relativeFrom="paragraph">
            <wp:posOffset>6350</wp:posOffset>
          </wp:positionV>
          <wp:extent cx="1349375" cy="507365"/>
          <wp:effectExtent l="0" t="0" r="3175" b="6985"/>
          <wp:wrapNone/>
          <wp:docPr id="9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6" t="38158" r="7692" b="17384"/>
                  <a:stretch/>
                </pic:blipFill>
                <pic:spPr bwMode="auto">
                  <a:xfrm>
                    <a:off x="0" y="0"/>
                    <a:ext cx="1349375" cy="50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FC11E" w14:textId="3131BBF0" w:rsidR="00F609A4" w:rsidRDefault="00F609A4">
    <w:pPr>
      <w:pStyle w:val="Encabezado"/>
    </w:pPr>
  </w:p>
  <w:p w14:paraId="48A057EA" w14:textId="20D020AD" w:rsidR="00F609A4" w:rsidRDefault="00F609A4">
    <w:pPr>
      <w:pStyle w:val="Encabezado"/>
    </w:pPr>
  </w:p>
  <w:p w14:paraId="4A5998CE" w14:textId="027A8278" w:rsidR="00F609A4" w:rsidRDefault="00F609A4">
    <w:pPr>
      <w:pStyle w:val="Encabezado"/>
    </w:pPr>
  </w:p>
  <w:p w14:paraId="6A47E6C8" w14:textId="77777777" w:rsidR="00F609A4" w:rsidRDefault="00F609A4">
    <w:pPr>
      <w:pStyle w:val="Encabezado"/>
    </w:pPr>
  </w:p>
  <w:p w14:paraId="44905184" w14:textId="5B0DC9E6" w:rsidR="00F609A4" w:rsidRDefault="00F609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B57A" w14:textId="291CB96C" w:rsidR="00F609A4" w:rsidRDefault="00A85A5D" w:rsidP="005A386E">
    <w:pPr>
      <w:pStyle w:val="Encabezado"/>
      <w:ind w:left="-284"/>
    </w:pPr>
    <w:r>
      <w:rPr>
        <w:lang w:val="es-ES" w:eastAsia="es-ES"/>
      </w:rPr>
      <w:drawing>
        <wp:anchor distT="0" distB="0" distL="114300" distR="114300" simplePos="0" relativeHeight="251673600" behindDoc="0" locked="0" layoutInCell="1" allowOverlap="1" wp14:anchorId="349BFB8F" wp14:editId="45C3DFB5">
          <wp:simplePos x="0" y="0"/>
          <wp:positionH relativeFrom="column">
            <wp:posOffset>5334000</wp:posOffset>
          </wp:positionH>
          <wp:positionV relativeFrom="paragraph">
            <wp:posOffset>97155</wp:posOffset>
          </wp:positionV>
          <wp:extent cx="1216660" cy="457200"/>
          <wp:effectExtent l="0" t="0" r="2540" b="0"/>
          <wp:wrapNone/>
          <wp:docPr id="30" name="Imagen 30" descr="Logo CR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Logo CRE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72576" behindDoc="0" locked="0" layoutInCell="1" allowOverlap="1" wp14:anchorId="0C59745E" wp14:editId="4E02354E">
          <wp:simplePos x="0" y="0"/>
          <wp:positionH relativeFrom="column">
            <wp:posOffset>1977936</wp:posOffset>
          </wp:positionH>
          <wp:positionV relativeFrom="paragraph">
            <wp:posOffset>97155</wp:posOffset>
          </wp:positionV>
          <wp:extent cx="1350000" cy="507600"/>
          <wp:effectExtent l="0" t="0" r="3175" b="6985"/>
          <wp:wrapNone/>
          <wp:docPr id="2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6" t="38158" r="7692" b="17384"/>
                  <a:stretch/>
                </pic:blipFill>
                <pic:spPr bwMode="auto">
                  <a:xfrm>
                    <a:off x="0" y="0"/>
                    <a:ext cx="1350000" cy="50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74624" behindDoc="0" locked="0" layoutInCell="1" allowOverlap="1" wp14:anchorId="4854BC0A" wp14:editId="6B10B651">
          <wp:simplePos x="0" y="0"/>
          <wp:positionH relativeFrom="column">
            <wp:posOffset>-753110</wp:posOffset>
          </wp:positionH>
          <wp:positionV relativeFrom="paragraph">
            <wp:posOffset>144780</wp:posOffset>
          </wp:positionV>
          <wp:extent cx="1003935" cy="316230"/>
          <wp:effectExtent l="0" t="0" r="5715" b="7620"/>
          <wp:wrapNone/>
          <wp:docPr id="29" name="Imagen 29" descr="http://www.feqpa.com/images/Cabecera/Feqp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http://www.feqpa.com/images/Cabecera/Feq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7D55F" w14:textId="38AB4655" w:rsidR="00F609A4" w:rsidRDefault="00F609A4" w:rsidP="005A386E">
    <w:pPr>
      <w:pStyle w:val="Encabezado"/>
      <w:ind w:left="-284"/>
    </w:pPr>
  </w:p>
  <w:p w14:paraId="360315AF" w14:textId="063A695A" w:rsidR="00990B1D" w:rsidRPr="00036C44" w:rsidRDefault="00990B1D" w:rsidP="00990B1D">
    <w:pPr>
      <w:pStyle w:val="Encabezado"/>
      <w:ind w:left="6237"/>
      <w:rPr>
        <w:rFonts w:ascii="Myriad Pro Bold" w:hAnsi="Myriad Pro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F68"/>
    <w:multiLevelType w:val="hybridMultilevel"/>
    <w:tmpl w:val="97BCA31A"/>
    <w:lvl w:ilvl="0" w:tplc="AC12C114">
      <w:numFmt w:val="bullet"/>
      <w:lvlText w:val=""/>
      <w:lvlJc w:val="left"/>
      <w:pPr>
        <w:ind w:left="1785" w:hanging="360"/>
      </w:pPr>
      <w:rPr>
        <w:rFonts w:ascii="Symbol" w:eastAsia="Times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FFF6C42"/>
    <w:multiLevelType w:val="hybridMultilevel"/>
    <w:tmpl w:val="E826AF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F4D"/>
    <w:multiLevelType w:val="hybridMultilevel"/>
    <w:tmpl w:val="19FA0402"/>
    <w:lvl w:ilvl="0" w:tplc="843A1DA8">
      <w:numFmt w:val="bullet"/>
      <w:lvlText w:val=""/>
      <w:lvlJc w:val="left"/>
      <w:pPr>
        <w:ind w:left="1785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B3A7F2B"/>
    <w:multiLevelType w:val="hybridMultilevel"/>
    <w:tmpl w:val="C62867E8"/>
    <w:lvl w:ilvl="0" w:tplc="93EAF356">
      <w:numFmt w:val="bullet"/>
      <w:lvlText w:val=""/>
      <w:lvlJc w:val="left"/>
      <w:pPr>
        <w:ind w:left="1785" w:hanging="360"/>
      </w:pPr>
      <w:rPr>
        <w:rFonts w:ascii="Symbol" w:eastAsia="Times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F556F34"/>
    <w:multiLevelType w:val="hybridMultilevel"/>
    <w:tmpl w:val="CD62AA22"/>
    <w:lvl w:ilvl="0" w:tplc="C6D0D298">
      <w:numFmt w:val="bullet"/>
      <w:lvlText w:val="-"/>
      <w:lvlJc w:val="left"/>
      <w:pPr>
        <w:ind w:left="1004" w:hanging="360"/>
      </w:pPr>
      <w:rPr>
        <w:rFonts w:ascii="Myriad Pro" w:eastAsia="Times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916954"/>
    <w:multiLevelType w:val="hybridMultilevel"/>
    <w:tmpl w:val="1B387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E"/>
    <w:rsid w:val="000178B8"/>
    <w:rsid w:val="00047AAD"/>
    <w:rsid w:val="000657D9"/>
    <w:rsid w:val="00071E34"/>
    <w:rsid w:val="00080D51"/>
    <w:rsid w:val="000815A5"/>
    <w:rsid w:val="000B0AE2"/>
    <w:rsid w:val="000B0B39"/>
    <w:rsid w:val="000B15B6"/>
    <w:rsid w:val="000B7706"/>
    <w:rsid w:val="000C59D3"/>
    <w:rsid w:val="000D59B1"/>
    <w:rsid w:val="000E43A4"/>
    <w:rsid w:val="00103557"/>
    <w:rsid w:val="001056CE"/>
    <w:rsid w:val="0015608A"/>
    <w:rsid w:val="00172775"/>
    <w:rsid w:val="001A1E65"/>
    <w:rsid w:val="001E19E0"/>
    <w:rsid w:val="0021113B"/>
    <w:rsid w:val="00220427"/>
    <w:rsid w:val="0022507C"/>
    <w:rsid w:val="00227FC6"/>
    <w:rsid w:val="002520F6"/>
    <w:rsid w:val="00254BB5"/>
    <w:rsid w:val="002663E1"/>
    <w:rsid w:val="00292230"/>
    <w:rsid w:val="002A47CB"/>
    <w:rsid w:val="002B3F11"/>
    <w:rsid w:val="002C1D6C"/>
    <w:rsid w:val="002D2F6C"/>
    <w:rsid w:val="002E4BAE"/>
    <w:rsid w:val="002E7313"/>
    <w:rsid w:val="002F16A6"/>
    <w:rsid w:val="002F3E7E"/>
    <w:rsid w:val="00314485"/>
    <w:rsid w:val="0031737A"/>
    <w:rsid w:val="00321920"/>
    <w:rsid w:val="00322746"/>
    <w:rsid w:val="00334F8B"/>
    <w:rsid w:val="003479C5"/>
    <w:rsid w:val="00347A11"/>
    <w:rsid w:val="003523DA"/>
    <w:rsid w:val="0038134C"/>
    <w:rsid w:val="00383B26"/>
    <w:rsid w:val="00386BDA"/>
    <w:rsid w:val="003A0CE6"/>
    <w:rsid w:val="003A24A0"/>
    <w:rsid w:val="003B1C08"/>
    <w:rsid w:val="003B3279"/>
    <w:rsid w:val="003C1E5C"/>
    <w:rsid w:val="003C374D"/>
    <w:rsid w:val="003E6499"/>
    <w:rsid w:val="004017BB"/>
    <w:rsid w:val="00432B2D"/>
    <w:rsid w:val="00454CBE"/>
    <w:rsid w:val="00456054"/>
    <w:rsid w:val="004859F0"/>
    <w:rsid w:val="004A380E"/>
    <w:rsid w:val="004A7214"/>
    <w:rsid w:val="00507A72"/>
    <w:rsid w:val="00514FCC"/>
    <w:rsid w:val="00515853"/>
    <w:rsid w:val="00524720"/>
    <w:rsid w:val="005301FD"/>
    <w:rsid w:val="00551033"/>
    <w:rsid w:val="00553168"/>
    <w:rsid w:val="00563FDD"/>
    <w:rsid w:val="0058318C"/>
    <w:rsid w:val="005A386E"/>
    <w:rsid w:val="005A4205"/>
    <w:rsid w:val="005B4BAC"/>
    <w:rsid w:val="005D5665"/>
    <w:rsid w:val="005F3532"/>
    <w:rsid w:val="00610547"/>
    <w:rsid w:val="006317EC"/>
    <w:rsid w:val="006319AA"/>
    <w:rsid w:val="00631C3A"/>
    <w:rsid w:val="00632D0C"/>
    <w:rsid w:val="00633A69"/>
    <w:rsid w:val="00660B03"/>
    <w:rsid w:val="00663E69"/>
    <w:rsid w:val="00695506"/>
    <w:rsid w:val="006F41F5"/>
    <w:rsid w:val="0072292F"/>
    <w:rsid w:val="00724AE6"/>
    <w:rsid w:val="00735720"/>
    <w:rsid w:val="0073730A"/>
    <w:rsid w:val="0074352D"/>
    <w:rsid w:val="007840E7"/>
    <w:rsid w:val="007D3ED7"/>
    <w:rsid w:val="007D67BD"/>
    <w:rsid w:val="007E68C5"/>
    <w:rsid w:val="008179F0"/>
    <w:rsid w:val="008337CB"/>
    <w:rsid w:val="00870218"/>
    <w:rsid w:val="0087111D"/>
    <w:rsid w:val="008762A1"/>
    <w:rsid w:val="00880383"/>
    <w:rsid w:val="008E4A73"/>
    <w:rsid w:val="008E573F"/>
    <w:rsid w:val="008F14F9"/>
    <w:rsid w:val="008F6EE8"/>
    <w:rsid w:val="00912D9D"/>
    <w:rsid w:val="00916AC0"/>
    <w:rsid w:val="00936E2C"/>
    <w:rsid w:val="00946E53"/>
    <w:rsid w:val="00957EE4"/>
    <w:rsid w:val="00970B57"/>
    <w:rsid w:val="00975DF5"/>
    <w:rsid w:val="00990B1D"/>
    <w:rsid w:val="009A4A15"/>
    <w:rsid w:val="009B1B0A"/>
    <w:rsid w:val="009C00E5"/>
    <w:rsid w:val="009C75CD"/>
    <w:rsid w:val="009E15EF"/>
    <w:rsid w:val="009E3A06"/>
    <w:rsid w:val="00A079D3"/>
    <w:rsid w:val="00A260CF"/>
    <w:rsid w:val="00A43056"/>
    <w:rsid w:val="00A51311"/>
    <w:rsid w:val="00A63688"/>
    <w:rsid w:val="00A806AD"/>
    <w:rsid w:val="00A85A5D"/>
    <w:rsid w:val="00AD11BE"/>
    <w:rsid w:val="00AD7183"/>
    <w:rsid w:val="00AE4E6E"/>
    <w:rsid w:val="00B26499"/>
    <w:rsid w:val="00B368F2"/>
    <w:rsid w:val="00B40A8A"/>
    <w:rsid w:val="00B555C2"/>
    <w:rsid w:val="00B679B1"/>
    <w:rsid w:val="00B808F4"/>
    <w:rsid w:val="00B84858"/>
    <w:rsid w:val="00BA3692"/>
    <w:rsid w:val="00BD2120"/>
    <w:rsid w:val="00BD55B3"/>
    <w:rsid w:val="00BE14F7"/>
    <w:rsid w:val="00BF6095"/>
    <w:rsid w:val="00C1266C"/>
    <w:rsid w:val="00C20994"/>
    <w:rsid w:val="00C36F19"/>
    <w:rsid w:val="00C500C5"/>
    <w:rsid w:val="00C53160"/>
    <w:rsid w:val="00CA134F"/>
    <w:rsid w:val="00CA6277"/>
    <w:rsid w:val="00CB78A4"/>
    <w:rsid w:val="00CD0EB0"/>
    <w:rsid w:val="00CF6E2F"/>
    <w:rsid w:val="00D034D9"/>
    <w:rsid w:val="00D056A9"/>
    <w:rsid w:val="00D07EBF"/>
    <w:rsid w:val="00D16365"/>
    <w:rsid w:val="00D20976"/>
    <w:rsid w:val="00D2230C"/>
    <w:rsid w:val="00D33FB9"/>
    <w:rsid w:val="00D42BE8"/>
    <w:rsid w:val="00D4352B"/>
    <w:rsid w:val="00D57119"/>
    <w:rsid w:val="00D61726"/>
    <w:rsid w:val="00D7511E"/>
    <w:rsid w:val="00D87699"/>
    <w:rsid w:val="00D94F94"/>
    <w:rsid w:val="00DD4AB4"/>
    <w:rsid w:val="00DF3C76"/>
    <w:rsid w:val="00DF6831"/>
    <w:rsid w:val="00E0677B"/>
    <w:rsid w:val="00E4449D"/>
    <w:rsid w:val="00E56CB9"/>
    <w:rsid w:val="00E6248F"/>
    <w:rsid w:val="00E76E5D"/>
    <w:rsid w:val="00E8114B"/>
    <w:rsid w:val="00EA1752"/>
    <w:rsid w:val="00EB57E0"/>
    <w:rsid w:val="00EF44B8"/>
    <w:rsid w:val="00F0551E"/>
    <w:rsid w:val="00F10C46"/>
    <w:rsid w:val="00F229FA"/>
    <w:rsid w:val="00F24C94"/>
    <w:rsid w:val="00F31679"/>
    <w:rsid w:val="00F32758"/>
    <w:rsid w:val="00F471F4"/>
    <w:rsid w:val="00F609A4"/>
    <w:rsid w:val="00F63BFB"/>
    <w:rsid w:val="00F83EFF"/>
    <w:rsid w:val="00F93257"/>
    <w:rsid w:val="00F956D5"/>
    <w:rsid w:val="00FB481C"/>
    <w:rsid w:val="00FB6453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B5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3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2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57"/>
    <w:rPr>
      <w:rFonts w:ascii="Lucida Grande" w:hAnsi="Lucida Grande" w:cs="Lucida Grande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560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F35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E57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E0"/>
    <w:rPr>
      <w:color w:val="800080" w:themeColor="followedHyperlink"/>
      <w:u w:val="single"/>
    </w:rPr>
  </w:style>
  <w:style w:type="paragraph" w:customStyle="1" w:styleId="rtecenter">
    <w:name w:val="rtecenter"/>
    <w:basedOn w:val="Normal"/>
    <w:rsid w:val="00292230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2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3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2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57"/>
    <w:rPr>
      <w:rFonts w:ascii="Lucida Grande" w:hAnsi="Lucida Grande" w:cs="Lucida Grande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560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F35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E57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E0"/>
    <w:rPr>
      <w:color w:val="800080" w:themeColor="followedHyperlink"/>
      <w:u w:val="single"/>
    </w:rPr>
  </w:style>
  <w:style w:type="paragraph" w:customStyle="1" w:styleId="rtecenter">
    <w:name w:val="rtecenter"/>
    <w:basedOn w:val="Normal"/>
    <w:rsid w:val="00292230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2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a@unizar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hoz@unizar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ventos.unizar.es/23404/detai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os.unizar.es/23404/tickets/quimiaragon-2018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CB16-8DD1-4085-832B-D7D0D1E9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4099</CharactersWithSpaces>
  <SharedDoc>false</SharedDoc>
  <HLinks>
    <vt:vector size="24" baseType="variant">
      <vt:variant>
        <vt:i4>5308661</vt:i4>
      </vt:variant>
      <vt:variant>
        <vt:i4>-1</vt:i4>
      </vt:variant>
      <vt:variant>
        <vt:i4>2056</vt:i4>
      </vt:variant>
      <vt:variant>
        <vt:i4>1</vt:i4>
      </vt:variant>
      <vt:variant>
        <vt:lpwstr>:Imágenes:logo segunda hoja.jpg</vt:lpwstr>
      </vt:variant>
      <vt:variant>
        <vt:lpwstr/>
      </vt:variant>
      <vt:variant>
        <vt:i4>1966329</vt:i4>
      </vt:variant>
      <vt:variant>
        <vt:i4>-1</vt:i4>
      </vt:variant>
      <vt:variant>
        <vt:i4>2057</vt:i4>
      </vt:variant>
      <vt:variant>
        <vt:i4>1</vt:i4>
      </vt:variant>
      <vt:variant>
        <vt:lpwstr>:Imágenes:cabecera zaragoza.jpg</vt:lpwstr>
      </vt:variant>
      <vt:variant>
        <vt:lpwstr/>
      </vt:variant>
      <vt:variant>
        <vt:i4>4718782</vt:i4>
      </vt:variant>
      <vt:variant>
        <vt:i4>-1</vt:i4>
      </vt:variant>
      <vt:variant>
        <vt:i4>2058</vt:i4>
      </vt:variant>
      <vt:variant>
        <vt:i4>1</vt:i4>
      </vt:variant>
      <vt:variant>
        <vt:lpwstr>:Imágenes:datos registrales.jpg</vt:lpwstr>
      </vt:variant>
      <vt:variant>
        <vt:lpwstr/>
      </vt:variant>
      <vt:variant>
        <vt:i4>5308661</vt:i4>
      </vt:variant>
      <vt:variant>
        <vt:i4>-1</vt:i4>
      </vt:variant>
      <vt:variant>
        <vt:i4>2059</vt:i4>
      </vt:variant>
      <vt:variant>
        <vt:i4>1</vt:i4>
      </vt:variant>
      <vt:variant>
        <vt:lpwstr>:Imágenes:logo segunda hoja.jpg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Blecua Beleta</dc:creator>
  <cp:lastModifiedBy>Fernando</cp:lastModifiedBy>
  <cp:revision>2</cp:revision>
  <cp:lastPrinted>2018-08-21T09:05:00Z</cp:lastPrinted>
  <dcterms:created xsi:type="dcterms:W3CDTF">2019-10-16T09:26:00Z</dcterms:created>
  <dcterms:modified xsi:type="dcterms:W3CDTF">2019-10-16T09:26:00Z</dcterms:modified>
</cp:coreProperties>
</file>