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47ED" w:rsidRDefault="008347ED" w:rsidP="00C917F9"/>
    <w:p w:rsidR="00C917F9" w:rsidRDefault="00C917F9" w:rsidP="00C917F9">
      <w:pPr>
        <w:jc w:val="center"/>
      </w:pPr>
      <w:r>
        <w:t xml:space="preserve">(Excerpt from [S. Ji (2012). </w:t>
      </w:r>
      <w:r w:rsidRPr="00C917F9">
        <w:rPr>
          <w:i/>
        </w:rPr>
        <w:t>Molecu</w:t>
      </w:r>
      <w:r>
        <w:rPr>
          <w:i/>
        </w:rPr>
        <w:t>lar Theory of the Living Cell: C</w:t>
      </w:r>
      <w:r w:rsidRPr="00C917F9">
        <w:rPr>
          <w:i/>
        </w:rPr>
        <w:t>oncepts, Molecular Mechanisms, and Biomedical Applications</w:t>
      </w:r>
      <w:r>
        <w:t>.  Springer, New York.  Pp. 166-167])</w:t>
      </w:r>
    </w:p>
    <w:tbl>
      <w:tblPr>
        <w:tblpPr w:leftFromText="180" w:rightFromText="180" w:vertAnchor="page" w:horzAnchor="margin" w:tblpY="2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CellMar>
          <w:top w:w="115" w:type="dxa"/>
          <w:left w:w="115" w:type="dxa"/>
          <w:bottom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2508"/>
        <w:gridCol w:w="4267"/>
      </w:tblGrid>
      <w:tr w:rsidR="00C917F9" w:rsidRPr="00826402" w:rsidTr="00C917F9">
        <w:tc>
          <w:tcPr>
            <w:tcW w:w="8870" w:type="dxa"/>
            <w:gridSpan w:val="3"/>
            <w:shd w:val="clear" w:color="auto" w:fill="EEECE1"/>
          </w:tcPr>
          <w:p w:rsidR="00C917F9" w:rsidRPr="00826402" w:rsidRDefault="00C917F9" w:rsidP="00C917F9">
            <w:pPr>
              <w:rPr>
                <w:b/>
              </w:rPr>
            </w:pPr>
            <w:r w:rsidRPr="00826402">
              <w:rPr>
                <w:b/>
              </w:rPr>
              <w:t>Table 6-</w:t>
            </w:r>
            <w:proofErr w:type="gramStart"/>
            <w:r w:rsidRPr="00826402">
              <w:rPr>
                <w:b/>
              </w:rPr>
              <w:t xml:space="preserve">3  </w:t>
            </w:r>
            <w:r w:rsidRPr="00826402">
              <w:t>A</w:t>
            </w:r>
            <w:proofErr w:type="gramEnd"/>
            <w:r w:rsidRPr="00826402">
              <w:t xml:space="preserve"> </w:t>
            </w:r>
            <w:r w:rsidRPr="00826402">
              <w:rPr>
                <w:i/>
              </w:rPr>
              <w:t>formal</w:t>
            </w:r>
            <w:r w:rsidRPr="00826402">
              <w:t xml:space="preserve"> comparison between human and cell languages (Ji 1997</w:t>
            </w:r>
            <w:r>
              <w:t>a</w:t>
            </w:r>
            <w:r w:rsidRPr="00826402">
              <w:t>, 1999b).</w:t>
            </w:r>
          </w:p>
        </w:tc>
      </w:tr>
      <w:tr w:rsidR="00C917F9" w:rsidRPr="00976B0B" w:rsidTr="00C917F9">
        <w:tc>
          <w:tcPr>
            <w:tcW w:w="2095" w:type="dxa"/>
            <w:shd w:val="clear" w:color="auto" w:fill="EEECE1"/>
          </w:tcPr>
          <w:p w:rsidR="00C917F9" w:rsidRPr="00831476" w:rsidRDefault="00C917F9" w:rsidP="00C917F9"/>
        </w:tc>
        <w:tc>
          <w:tcPr>
            <w:tcW w:w="2508" w:type="dxa"/>
            <w:shd w:val="clear" w:color="auto" w:fill="EEECE1"/>
          </w:tcPr>
          <w:p w:rsidR="00C917F9" w:rsidRPr="003C2BF5" w:rsidRDefault="00C917F9" w:rsidP="00C917F9">
            <w:pPr>
              <w:rPr>
                <w:b/>
              </w:rPr>
            </w:pPr>
            <w:r w:rsidRPr="003C2BF5">
              <w:rPr>
                <w:b/>
              </w:rPr>
              <w:t>Human Language</w:t>
            </w:r>
          </w:p>
          <w:p w:rsidR="00C917F9" w:rsidRPr="00976B0B" w:rsidRDefault="00C917F9" w:rsidP="00C917F9">
            <w:r>
              <w:t>(</w:t>
            </w:r>
            <w:proofErr w:type="spellStart"/>
            <w:r w:rsidRPr="003C2BF5">
              <w:rPr>
                <w:i/>
              </w:rPr>
              <w:t>Humanese</w:t>
            </w:r>
            <w:proofErr w:type="spellEnd"/>
            <w:r>
              <w:t>)</w:t>
            </w:r>
          </w:p>
        </w:tc>
        <w:tc>
          <w:tcPr>
            <w:tcW w:w="4267" w:type="dxa"/>
            <w:shd w:val="clear" w:color="auto" w:fill="EEECE1"/>
          </w:tcPr>
          <w:p w:rsidR="00C917F9" w:rsidRPr="003C2BF5" w:rsidRDefault="00C917F9" w:rsidP="00C917F9">
            <w:pPr>
              <w:rPr>
                <w:b/>
              </w:rPr>
            </w:pPr>
            <w:r w:rsidRPr="003C2BF5">
              <w:rPr>
                <w:b/>
              </w:rPr>
              <w:t>Cell Language</w:t>
            </w:r>
          </w:p>
          <w:p w:rsidR="00C917F9" w:rsidRPr="00976B0B" w:rsidRDefault="00C917F9" w:rsidP="00C917F9">
            <w:r>
              <w:t>(</w:t>
            </w:r>
            <w:proofErr w:type="spellStart"/>
            <w:r w:rsidRPr="003C2BF5">
              <w:rPr>
                <w:i/>
              </w:rPr>
              <w:t>Cellese</w:t>
            </w:r>
            <w:proofErr w:type="spellEnd"/>
            <w:r>
              <w:t>)</w:t>
            </w:r>
          </w:p>
        </w:tc>
      </w:tr>
      <w:tr w:rsidR="00C917F9" w:rsidRPr="00831476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1. </w:t>
            </w:r>
            <w:r w:rsidRPr="00A722C8">
              <w:t>Alphabet (L)</w:t>
            </w:r>
          </w:p>
        </w:tc>
        <w:tc>
          <w:tcPr>
            <w:tcW w:w="2508" w:type="dxa"/>
            <w:shd w:val="clear" w:color="auto" w:fill="EEECE1"/>
          </w:tcPr>
          <w:p w:rsidR="00C917F9" w:rsidRPr="00831476" w:rsidRDefault="00C917F9" w:rsidP="00C917F9">
            <w:r w:rsidRPr="00831476">
              <w:t>Letters</w:t>
            </w:r>
          </w:p>
        </w:tc>
        <w:tc>
          <w:tcPr>
            <w:tcW w:w="4267" w:type="dxa"/>
            <w:shd w:val="clear" w:color="auto" w:fill="EEECE1"/>
          </w:tcPr>
          <w:p w:rsidR="00C917F9" w:rsidRPr="00831476" w:rsidRDefault="00C917F9" w:rsidP="00C917F9">
            <w:r w:rsidRPr="00831476">
              <w:t>4 Nucleotides (or 20 Amino acids)</w:t>
            </w:r>
          </w:p>
        </w:tc>
      </w:tr>
      <w:tr w:rsidR="00C917F9" w:rsidRPr="00831476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2. </w:t>
            </w:r>
            <w:r w:rsidRPr="00A722C8">
              <w:t>Lexicon (W)</w:t>
            </w:r>
          </w:p>
        </w:tc>
        <w:tc>
          <w:tcPr>
            <w:tcW w:w="2508" w:type="dxa"/>
            <w:shd w:val="clear" w:color="auto" w:fill="EEECE1"/>
          </w:tcPr>
          <w:p w:rsidR="00C917F9" w:rsidRPr="00831476" w:rsidRDefault="00C917F9" w:rsidP="00C917F9">
            <w:r w:rsidRPr="00831476">
              <w:t>Words</w:t>
            </w:r>
            <w:r>
              <w:t xml:space="preserve"> </w:t>
            </w:r>
          </w:p>
        </w:tc>
        <w:tc>
          <w:tcPr>
            <w:tcW w:w="4267" w:type="dxa"/>
            <w:shd w:val="clear" w:color="auto" w:fill="EEECE1"/>
          </w:tcPr>
          <w:p w:rsidR="00C917F9" w:rsidRPr="00831476" w:rsidRDefault="00C917F9" w:rsidP="00C917F9">
            <w:r w:rsidRPr="00831476">
              <w:t>Genes (or Polypeptides)</w:t>
            </w:r>
          </w:p>
        </w:tc>
      </w:tr>
      <w:tr w:rsidR="00C917F9" w:rsidRPr="00831476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3. </w:t>
            </w:r>
            <w:r w:rsidRPr="00A722C8">
              <w:t>Sentences (S)</w:t>
            </w:r>
          </w:p>
        </w:tc>
        <w:tc>
          <w:tcPr>
            <w:tcW w:w="2508" w:type="dxa"/>
            <w:shd w:val="clear" w:color="auto" w:fill="EEECE1"/>
          </w:tcPr>
          <w:p w:rsidR="00C917F9" w:rsidRPr="00831476" w:rsidRDefault="00C917F9" w:rsidP="00C917F9">
            <w:r w:rsidRPr="00831476">
              <w:t>Strings of words</w:t>
            </w:r>
          </w:p>
        </w:tc>
        <w:tc>
          <w:tcPr>
            <w:tcW w:w="4267" w:type="dxa"/>
            <w:shd w:val="clear" w:color="auto" w:fill="EEECE1"/>
          </w:tcPr>
          <w:p w:rsidR="00C917F9" w:rsidRPr="00831476" w:rsidRDefault="00C917F9" w:rsidP="00C917F9">
            <w:r w:rsidRPr="00831476">
              <w:t xml:space="preserve">Sets of genes (or polypeptides) expressed (or synthesized) coordinately in space and time dictated by </w:t>
            </w:r>
            <w:smartTag w:uri="urn:schemas-microsoft-com:office:smarttags" w:element="stockticker">
              <w:r w:rsidRPr="00831476">
                <w:t>DNA</w:t>
              </w:r>
            </w:smartTag>
            <w:r w:rsidRPr="00831476">
              <w:t xml:space="preserve"> folds</w:t>
            </w:r>
            <w:r w:rsidRPr="00A722C8">
              <w:rPr>
                <w:vertAlign w:val="superscript"/>
              </w:rPr>
              <w:t>1</w:t>
            </w:r>
            <w:r w:rsidRPr="00831476">
              <w:t xml:space="preserve"> (cell states).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4. </w:t>
            </w:r>
            <w:r w:rsidRPr="00A722C8">
              <w:t>Grammar (G)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Rules of sentence formation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>
              <w:t xml:space="preserve">The </w:t>
            </w:r>
            <w:r w:rsidRPr="00F12867">
              <w:rPr>
                <w:i/>
              </w:rPr>
              <w:t>physical laws</w:t>
            </w:r>
            <w:r>
              <w:t xml:space="preserve"> and </w:t>
            </w:r>
            <w:r w:rsidRPr="00F12867">
              <w:rPr>
                <w:i/>
              </w:rPr>
              <w:t>biological rules</w:t>
            </w:r>
            <w:r>
              <w:t xml:space="preserve"> mapping </w:t>
            </w:r>
            <w:smartTag w:uri="urn:schemas-microsoft-com:office:smarttags" w:element="stockticker">
              <w:r>
                <w:t>DNA</w:t>
              </w:r>
            </w:smartTag>
            <w:r>
              <w:t xml:space="preserve"> sequences to folding patterns of </w:t>
            </w:r>
            <w:smartTag w:uri="urn:schemas-microsoft-com:office:smarttags" w:element="stockticker">
              <w:r>
                <w:t>DNA</w:t>
              </w:r>
            </w:smartTag>
            <w:r>
              <w:t xml:space="preserve"> (polypeptides) under biological conditions</w:t>
            </w:r>
            <w:r w:rsidRPr="00A722C8">
              <w:rPr>
                <w:vertAlign w:val="superscript"/>
              </w:rPr>
              <w:t>2</w:t>
            </w:r>
            <w:r w:rsidRPr="008709D6">
              <w:t>.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5. </w:t>
            </w:r>
            <w:r w:rsidRPr="00A722C8">
              <w:t>Phonetics (P)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Physiological structures and processes underlying phonation, audition, and interpretation, etc.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>
              <w:t xml:space="preserve">Concentration and mechanical waves responsible for information and energy transfer and transduction driven by </w:t>
            </w:r>
            <w:r w:rsidRPr="00A722C8">
              <w:rPr>
                <w:i/>
              </w:rPr>
              <w:t>conformons</w:t>
            </w:r>
            <w:r w:rsidRPr="00A722C8">
              <w:rPr>
                <w:vertAlign w:val="superscript"/>
              </w:rPr>
              <w:t>3</w:t>
            </w:r>
            <w:r>
              <w:t xml:space="preserve">and </w:t>
            </w:r>
            <w:r w:rsidRPr="00A722C8">
              <w:rPr>
                <w:i/>
              </w:rPr>
              <w:t>intracellular dissipative structures</w:t>
            </w:r>
            <w:r>
              <w:t xml:space="preserve"> (IDSs</w:t>
            </w:r>
            <w:proofErr w:type="gramStart"/>
            <w:r>
              <w:t>)</w:t>
            </w:r>
            <w:r w:rsidRPr="00A722C8">
              <w:rPr>
                <w:vertAlign w:val="superscript"/>
              </w:rPr>
              <w:t>4</w:t>
            </w:r>
            <w:proofErr w:type="gramEnd"/>
            <w:r>
              <w:t>.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6. </w:t>
            </w:r>
            <w:r w:rsidRPr="00A722C8">
              <w:t>Semantics (M)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Meaning of words and sentences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 w:rsidRPr="00F12867">
              <w:rPr>
                <w:i/>
              </w:rPr>
              <w:t>Codes</w:t>
            </w:r>
            <w:r>
              <w:t xml:space="preserve"> mapping molecular signs to gene-directed cell processes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7. </w:t>
            </w:r>
            <w:r w:rsidRPr="008259E7">
              <w:t xml:space="preserve">First </w:t>
            </w:r>
            <w:r w:rsidRPr="008259E7">
              <w:br/>
              <w:t xml:space="preserve">   Articulation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Formation of sentences from words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>
              <w:t>Organization of gene expression events in space and time through</w:t>
            </w:r>
            <w:r w:rsidRPr="00A722C8">
              <w:rPr>
                <w:i/>
              </w:rPr>
              <w:t xml:space="preserve"> non-covalent interactions</w:t>
            </w:r>
            <w:r w:rsidRPr="00A722C8">
              <w:rPr>
                <w:vertAlign w:val="superscript"/>
              </w:rPr>
              <w:t>5</w:t>
            </w:r>
            <w:r>
              <w:t xml:space="preserve"> between </w:t>
            </w:r>
            <w:smartTag w:uri="urn:schemas-microsoft-com:office:smarttags" w:element="stockticker">
              <w:r>
                <w:t>DNA</w:t>
              </w:r>
            </w:smartTag>
            <w:r>
              <w:t xml:space="preserve"> and proteins (or Space- and time-dependent non-covalent interactions among proteins, </w:t>
            </w:r>
            <w:smartTag w:uri="urn:schemas-microsoft-com:office:smarttags" w:element="stockticker">
              <w:r>
                <w:t>DNA</w:t>
              </w:r>
            </w:smartTag>
            <w:r>
              <w:t xml:space="preserve">, and </w:t>
            </w:r>
            <w:smartTag w:uri="urn:schemas-microsoft-com:office:smarttags" w:element="stockticker">
              <w:r>
                <w:t>RNA</w:t>
              </w:r>
            </w:smartTag>
            <w:r>
              <w:t xml:space="preserve"> molecules). Thus, macromolecular c</w:t>
            </w:r>
            <w:r w:rsidRPr="0087014E">
              <w:t>omplexes can be viewed as molecular analogs of sentences</w:t>
            </w:r>
            <w:r>
              <w:t>.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t xml:space="preserve">8. </w:t>
            </w:r>
            <w:r w:rsidRPr="008259E7">
              <w:t xml:space="preserve">Second </w:t>
            </w:r>
            <w:r w:rsidRPr="008259E7">
              <w:br/>
              <w:t xml:space="preserve">   Articulation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Formation of words from letters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>
              <w:t>Organization of nucleotides (or amino acids) into genes (or polypeptides) through covalent interactions</w:t>
            </w:r>
            <w:r w:rsidRPr="00A722C8">
              <w:rPr>
                <w:vertAlign w:val="superscript"/>
              </w:rPr>
              <w:t>6</w:t>
            </w:r>
            <w:r>
              <w:t>.</w:t>
            </w:r>
          </w:p>
        </w:tc>
      </w:tr>
      <w:tr w:rsidR="00C917F9" w:rsidTr="00C917F9">
        <w:tc>
          <w:tcPr>
            <w:tcW w:w="2095" w:type="dxa"/>
            <w:shd w:val="clear" w:color="auto" w:fill="EEECE1"/>
          </w:tcPr>
          <w:p w:rsidR="00C917F9" w:rsidRPr="00A722C8" w:rsidRDefault="00C917F9" w:rsidP="00C917F9">
            <w:r>
              <w:lastRenderedPageBreak/>
              <w:t xml:space="preserve">9. </w:t>
            </w:r>
            <w:r w:rsidRPr="008259E7">
              <w:t xml:space="preserve">Third </w:t>
            </w:r>
            <w:r w:rsidRPr="008259E7">
              <w:br/>
              <w:t xml:space="preserve">   Articulation</w:t>
            </w:r>
          </w:p>
        </w:tc>
        <w:tc>
          <w:tcPr>
            <w:tcW w:w="2508" w:type="dxa"/>
            <w:shd w:val="clear" w:color="auto" w:fill="EEECE1"/>
          </w:tcPr>
          <w:p w:rsidR="00C917F9" w:rsidRDefault="00C917F9" w:rsidP="00C917F9">
            <w:r>
              <w:t>Formation of texts from sentences</w:t>
            </w:r>
          </w:p>
        </w:tc>
        <w:tc>
          <w:tcPr>
            <w:tcW w:w="4267" w:type="dxa"/>
            <w:shd w:val="clear" w:color="auto" w:fill="EEECE1"/>
          </w:tcPr>
          <w:p w:rsidR="00C917F9" w:rsidRDefault="00C917F9" w:rsidP="00C917F9">
            <w:r>
              <w:t xml:space="preserve">Organization of chemical concentration gradients in space and time called </w:t>
            </w:r>
            <w:r w:rsidRPr="008259E7">
              <w:rPr>
                <w:i/>
              </w:rPr>
              <w:t>dissipative structures</w:t>
            </w:r>
            <w:r>
              <w:t xml:space="preserve"> (</w:t>
            </w:r>
            <w:proofErr w:type="spellStart"/>
            <w:r>
              <w:t>Babloyantz</w:t>
            </w:r>
            <w:proofErr w:type="spellEnd"/>
            <w:r>
              <w:t xml:space="preserve"> 1986, </w:t>
            </w:r>
            <w:proofErr w:type="spellStart"/>
            <w:r>
              <w:t>Kondepudi</w:t>
            </w:r>
            <w:proofErr w:type="spellEnd"/>
            <w:r>
              <w:t xml:space="preserve"> and Prigogine 1998) or </w:t>
            </w:r>
            <w:proofErr w:type="spellStart"/>
            <w:r w:rsidRPr="008259E7">
              <w:rPr>
                <w:i/>
              </w:rPr>
              <w:t>dissipatons</w:t>
            </w:r>
            <w:proofErr w:type="spellEnd"/>
            <w:r>
              <w:t xml:space="preserve"> (</w:t>
            </w:r>
            <w:r w:rsidRPr="008259E7">
              <w:t>see Section 3.1.5</w:t>
            </w:r>
            <w:proofErr w:type="gramStart"/>
            <w:r>
              <w:t>)  in</w:t>
            </w:r>
            <w:proofErr w:type="gramEnd"/>
            <w:r>
              <w:t xml:space="preserve"> order to ‘</w:t>
            </w:r>
            <w:r w:rsidRPr="00267EEE">
              <w:rPr>
                <w:color w:val="FF0000"/>
              </w:rPr>
              <w:t>reason</w:t>
            </w:r>
            <w:r>
              <w:t>’ and ‘</w:t>
            </w:r>
            <w:r w:rsidRPr="00267EEE">
              <w:rPr>
                <w:color w:val="FF0000"/>
              </w:rPr>
              <w:t>compute</w:t>
            </w:r>
            <w:r>
              <w:t>’</w:t>
            </w:r>
            <w:r w:rsidRPr="00A722C8">
              <w:rPr>
                <w:vertAlign w:val="superscript"/>
              </w:rPr>
              <w:t>7</w:t>
            </w:r>
            <w:r>
              <w:t xml:space="preserve">. </w:t>
            </w:r>
          </w:p>
        </w:tc>
      </w:tr>
    </w:tbl>
    <w:p w:rsidR="00C917F9" w:rsidRDefault="00C917F9" w:rsidP="00C917F9"/>
    <w:p w:rsidR="00C917F9" w:rsidRDefault="00C917F9" w:rsidP="00C917F9">
      <w:bookmarkStart w:id="0" w:name="_GoBack"/>
      <w:bookmarkEnd w:id="0"/>
    </w:p>
    <w:p w:rsidR="00C917F9" w:rsidRDefault="00C917F9" w:rsidP="00C917F9">
      <w:r>
        <w:rPr>
          <w:vertAlign w:val="superscript"/>
        </w:rPr>
        <w:t xml:space="preserve">   </w:t>
      </w:r>
      <w:r w:rsidRPr="00A07053">
        <w:rPr>
          <w:vertAlign w:val="superscript"/>
        </w:rPr>
        <w:t>1</w:t>
      </w:r>
      <w:r>
        <w:t xml:space="preserve">Just as verbal sentences (as written) are strings of words arranged linearly in the Euclidean space, so the cell-linguistic (or molecular) sentences are visualized as series of  gene expression events arranged in time leading to dissipative structures or </w:t>
      </w:r>
      <w:proofErr w:type="spellStart"/>
      <w:r>
        <w:t>dissipatons</w:t>
      </w:r>
      <w:proofErr w:type="spellEnd"/>
      <w:r>
        <w:t xml:space="preserve"> (Section 9).</w:t>
      </w:r>
    </w:p>
    <w:p w:rsidR="00C917F9" w:rsidRDefault="00C917F9" w:rsidP="00C917F9">
      <w:r>
        <w:rPr>
          <w:vertAlign w:val="superscript"/>
        </w:rPr>
        <w:t xml:space="preserve">   2</w:t>
      </w:r>
      <w:r>
        <w:t xml:space="preserve">Of all the folds of </w:t>
      </w:r>
      <w:smartTag w:uri="urn:schemas-microsoft-com:office:smarttags" w:element="stockticker">
        <w:r>
          <w:t>DNA</w:t>
        </w:r>
      </w:smartTag>
      <w:r>
        <w:t xml:space="preserve"> and polypeptides allowed for by the laws of physics and chemistry, only small subsets have been selected by evolution (thereby giving rise to </w:t>
      </w:r>
      <w:r w:rsidRPr="00387FAA">
        <w:rPr>
          <w:i/>
        </w:rPr>
        <w:t>biological information</w:t>
      </w:r>
      <w:r>
        <w:t xml:space="preserve">) to constitute the genome of a cell. </w:t>
      </w:r>
    </w:p>
    <w:p w:rsidR="00C917F9" w:rsidRDefault="00C917F9" w:rsidP="00C917F9">
      <w:r>
        <w:rPr>
          <w:vertAlign w:val="superscript"/>
        </w:rPr>
        <w:t xml:space="preserve">   3</w:t>
      </w:r>
      <w:r>
        <w:t xml:space="preserve">Sequence-specficific conformational strains that carry both free energy (to do work) and genetic information (to control work) (Ji 1974a, 2000) (Section 8). </w:t>
      </w:r>
      <w:proofErr w:type="spellStart"/>
      <w:r>
        <w:t>Conformons</w:t>
      </w:r>
      <w:proofErr w:type="spellEnd"/>
      <w:r>
        <w:t xml:space="preserve"> are thought to provide immediate driving force (or serve as the force generators) for all non-random molecular processes inside the cell. Experimental evidence for </w:t>
      </w:r>
      <w:proofErr w:type="spellStart"/>
      <w:r>
        <w:t>conformons</w:t>
      </w:r>
      <w:proofErr w:type="spellEnd"/>
      <w:r>
        <w:t xml:space="preserve"> is discussed in Section 8.3.  </w:t>
      </w:r>
    </w:p>
    <w:p w:rsidR="00C917F9" w:rsidRDefault="00C917F9" w:rsidP="00C917F9">
      <w:r>
        <w:rPr>
          <w:vertAlign w:val="superscript"/>
        </w:rPr>
        <w:t xml:space="preserve">   4</w:t>
      </w:r>
      <w:r>
        <w:t xml:space="preserve">Space- and time-specific intracellular gradients of ions, </w:t>
      </w:r>
      <w:proofErr w:type="spellStart"/>
      <w:r>
        <w:t>biochemicals</w:t>
      </w:r>
      <w:proofErr w:type="spellEnd"/>
      <w:r>
        <w:t>, and mechanical stresses (e.g., of the cytoskeletal system) that serve as the immediate driving forces for all cell functions on the microscopic level (see Chapter 9).</w:t>
      </w:r>
    </w:p>
    <w:p w:rsidR="00C917F9" w:rsidRDefault="00C917F9" w:rsidP="00C917F9">
      <w:r>
        <w:rPr>
          <w:vertAlign w:val="superscript"/>
        </w:rPr>
        <w:t xml:space="preserve">   5</w:t>
      </w:r>
      <w:r>
        <w:t xml:space="preserve">Also called “conformational” interactions which involve neither breaking nor forming covalent bonds and depend only on the rotation around, or bending of, covalent bonds.  Non-covalent interactions implicate smaller energy changes (typically around 1 to 3 Kcal/mole) than covalent interactions which entail energy changes in the range of 30-100 Kcal/mole. </w:t>
      </w:r>
    </w:p>
    <w:p w:rsidR="00C917F9" w:rsidRDefault="00C917F9" w:rsidP="00C917F9">
      <w:r>
        <w:rPr>
          <w:vertAlign w:val="superscript"/>
        </w:rPr>
        <w:t xml:space="preserve">   6</w:t>
      </w:r>
      <w:r>
        <w:t>Molecular interactions that involve changes in covalent bonds, i.e., changes in valence electronic configurations around nuclei of atoms within a molecule.</w:t>
      </w:r>
    </w:p>
    <w:p w:rsidR="00C917F9" w:rsidRPr="00873D3B" w:rsidRDefault="00C917F9" w:rsidP="00C917F9">
      <w:r>
        <w:rPr>
          <w:vertAlign w:val="superscript"/>
        </w:rPr>
        <w:t xml:space="preserve">   7</w:t>
      </w:r>
      <w:r w:rsidRPr="00C3016D">
        <w:t>This row is</w:t>
      </w:r>
      <w:r>
        <w:rPr>
          <w:vertAlign w:val="superscript"/>
        </w:rPr>
        <w:t xml:space="preserve"> </w:t>
      </w:r>
      <w:r>
        <w:t>added to the original table published in (Ji 1997a</w:t>
      </w:r>
      <w:proofErr w:type="gramStart"/>
      <w:r>
        <w:t>,b</w:t>
      </w:r>
      <w:proofErr w:type="gramEnd"/>
      <w:r>
        <w:t>). T</w:t>
      </w:r>
      <w:r w:rsidRPr="0087014E">
        <w:t>he</w:t>
      </w:r>
      <w:r w:rsidRPr="0087014E">
        <w:rPr>
          <w:i/>
        </w:rPr>
        <w:t xml:space="preserve"> </w:t>
      </w:r>
      <w:r>
        <w:rPr>
          <w:i/>
        </w:rPr>
        <w:t xml:space="preserve">third </w:t>
      </w:r>
      <w:r w:rsidRPr="0087014E">
        <w:rPr>
          <w:i/>
        </w:rPr>
        <w:t>articulation</w:t>
      </w:r>
      <w:r w:rsidRPr="001279E7">
        <w:t xml:space="preserve"> </w:t>
      </w:r>
      <w:r>
        <w:t>(</w:t>
      </w:r>
      <w:r w:rsidRPr="0087014E">
        <w:t>Ji 2005</w:t>
      </w:r>
      <w:r>
        <w:t xml:space="preserve">a) is </w:t>
      </w:r>
      <w:r w:rsidRPr="0087014E">
        <w:t xml:space="preserve">a generalization </w:t>
      </w:r>
      <w:r>
        <w:t xml:space="preserve">and an extension of </w:t>
      </w:r>
      <w:r w:rsidRPr="00686140">
        <w:rPr>
          <w:i/>
        </w:rPr>
        <w:t>second</w:t>
      </w:r>
      <w:r>
        <w:t xml:space="preserve"> </w:t>
      </w:r>
      <w:r w:rsidRPr="00686140">
        <w:rPr>
          <w:i/>
        </w:rPr>
        <w:t>articulation</w:t>
      </w:r>
      <w:r>
        <w:t>.</w:t>
      </w:r>
      <w:r w:rsidRPr="0087014E">
        <w:t xml:space="preserve"> </w:t>
      </w:r>
      <w:r>
        <w:t xml:space="preserve">Intercellular communication through chemical concentration gradients is well established in microbiology in the phenomenon of </w:t>
      </w:r>
      <w:r w:rsidRPr="00D372E9">
        <w:rPr>
          <w:i/>
        </w:rPr>
        <w:t>qu</w:t>
      </w:r>
      <w:r>
        <w:rPr>
          <w:i/>
        </w:rPr>
        <w:t>o</w:t>
      </w:r>
      <w:r w:rsidRPr="00D372E9">
        <w:rPr>
          <w:i/>
        </w:rPr>
        <w:t>rum sensing</w:t>
      </w:r>
      <w:r>
        <w:t xml:space="preserve"> (Section 15.7) (Waters et al. 2008, Stock et al. 2000), whereby bacteria express a set of genes only if there are enough of them around so that they can combine and coordinate their efforts to accomplish a common task which is beyond the capability of individual bacteria.  This phenomenon can be viewed as a form of </w:t>
      </w:r>
      <w:r w:rsidRPr="00C81E6D">
        <w:rPr>
          <w:i/>
        </w:rPr>
        <w:t xml:space="preserve">reasoning </w:t>
      </w:r>
      <w:r>
        <w:t xml:space="preserve">and </w:t>
      </w:r>
      <w:r w:rsidRPr="00C81E6D">
        <w:rPr>
          <w:i/>
        </w:rPr>
        <w:t>computing</w:t>
      </w:r>
      <w:r>
        <w:t xml:space="preserve"> on the molecular level and the cell therefore can be viewed as </w:t>
      </w:r>
      <w:r w:rsidRPr="008259E7">
        <w:rPr>
          <w:i/>
        </w:rPr>
        <w:t>the smallest computational unit</w:t>
      </w:r>
      <w:r>
        <w:t xml:space="preserve"> (Ji 1999a)</w:t>
      </w:r>
      <w:r>
        <w:rPr>
          <w:i/>
        </w:rPr>
        <w:t>,</w:t>
      </w:r>
      <w:r>
        <w:t xml:space="preserve"> which may be referred to as </w:t>
      </w:r>
      <w:r w:rsidRPr="008259E7">
        <w:rPr>
          <w:i/>
        </w:rPr>
        <w:t xml:space="preserve">the </w:t>
      </w:r>
      <w:proofErr w:type="spellStart"/>
      <w:r w:rsidRPr="008259E7">
        <w:rPr>
          <w:i/>
        </w:rPr>
        <w:t>computon</w:t>
      </w:r>
      <w:proofErr w:type="spellEnd"/>
      <w:r>
        <w:rPr>
          <w:i/>
        </w:rPr>
        <w:t xml:space="preserve">, </w:t>
      </w:r>
      <w:r w:rsidRPr="00873D3B">
        <w:t>a new term</w:t>
      </w:r>
      <w:r>
        <w:t xml:space="preserve"> used here for the first time.</w:t>
      </w:r>
    </w:p>
    <w:p w:rsidR="00C917F9" w:rsidRPr="00C917F9" w:rsidRDefault="00C917F9" w:rsidP="00C917F9"/>
    <w:sectPr w:rsidR="00C917F9" w:rsidRPr="00C917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F9"/>
    <w:rsid w:val="008347ED"/>
    <w:rsid w:val="00C91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CB1AE5-456F-4B09-A7C7-C23C871AD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17F9"/>
    <w:pPr>
      <w:spacing w:after="0" w:line="240" w:lineRule="auto"/>
    </w:pPr>
    <w:rPr>
      <w:rFonts w:ascii="Times New Roman" w:eastAsia="Batang" w:hAnsi="Times New Roman" w:cs="Times New Roman"/>
      <w:bCs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Sungchul Ji</dc:creator>
  <cp:keywords/>
  <dc:description/>
  <cp:lastModifiedBy>Sungchul Ji</cp:lastModifiedBy>
  <cp:revision>1</cp:revision>
  <dcterms:created xsi:type="dcterms:W3CDTF">2017-04-15T17:33:00Z</dcterms:created>
  <dcterms:modified xsi:type="dcterms:W3CDTF">2017-04-15T17:43:00Z</dcterms:modified>
</cp:coreProperties>
</file>