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EAB" w:rsidRDefault="00620EAB" w:rsidP="00620EAB">
      <w:pPr>
        <w:pStyle w:val="Rientrocorpodeltesto2"/>
        <w:ind w:left="0" w:right="-30" w:firstLine="284"/>
        <w:rPr>
          <w:i w:val="0"/>
          <w:iCs/>
        </w:rPr>
      </w:pPr>
      <w:r>
        <w:rPr>
          <w:i w:val="0"/>
          <w:iCs/>
        </w:rPr>
        <w:t>16 D. Dal 1979 lavoro ad un modello di città basato su una (non dura o d</w:t>
      </w:r>
      <w:r>
        <w:rPr>
          <w:i w:val="0"/>
          <w:iCs/>
        </w:rPr>
        <w:t>e</w:t>
      </w:r>
      <w:r>
        <w:rPr>
          <w:i w:val="0"/>
          <w:iCs/>
        </w:rPr>
        <w:t xml:space="preserve">terministica, ma dolce e flessibile) matrice inter-attiva multi-temporale-dimensionale-mediale-linguistica-criteriale. Di questo ho scritto più volte nel presente libro. Naturalmente e culturalmente lo stesso modello-algoritmo ho impiegato e tarato per l’analisi dell’azienda. Qui – anche per fare un omaggio a Pedro C. Marijuán, persona squisita e sensibile (non solo in senso umano) che ho conosciuto in un convegno internazionale di fisici, biologici, chimici, etc., che s’è svolto ad Acireale dal 17 al 22 settembre sul tema </w:t>
      </w:r>
      <w:r>
        <w:t>Energy and i</w:t>
      </w:r>
      <w:r>
        <w:t>n</w:t>
      </w:r>
      <w:r>
        <w:t>formation transfer in biological systems</w:t>
      </w:r>
      <w:r>
        <w:rPr>
          <w:i w:val="0"/>
          <w:iCs/>
        </w:rPr>
        <w:t xml:space="preserve">, a me tanto caro come se l’avessi scelto (anch’) io – desidero lanciare l’ipotesi che esso possa essere utile anche a comprendere e “misurare”(nel senso di valutare) meglio la natura-cultura funzional-strutturale o de-cifr-azione di una cellula, anzi di ogni cellula che in una data situazione spazio-temporale somiglia e/o dissomiglia (differisce d)a tutte le altre. </w:t>
      </w:r>
    </w:p>
    <w:p w:rsidR="00620EAB" w:rsidRDefault="00620EAB" w:rsidP="00620EAB">
      <w:pPr>
        <w:pStyle w:val="Rientrocorpodeltesto2"/>
        <w:ind w:left="0" w:right="-30" w:firstLine="284"/>
        <w:rPr>
          <w:i w:val="0"/>
          <w:iCs/>
        </w:rPr>
      </w:pPr>
      <w:r>
        <w:rPr>
          <w:i w:val="0"/>
          <w:iCs/>
        </w:rPr>
        <w:t>Ogni cellula è un’uni-dualità o un’uni-molteplicità, un io-n-oi o un io-n-io, cioè è in una prospettiva funzional-strutturale una cellula a sé e un elemento nell’insieme di o che è un tessuto, un organo, un essere vivente, come un u</w:t>
      </w:r>
      <w:r>
        <w:rPr>
          <w:i w:val="0"/>
          <w:iCs/>
        </w:rPr>
        <w:t>o</w:t>
      </w:r>
      <w:r>
        <w:rPr>
          <w:i w:val="0"/>
          <w:iCs/>
        </w:rPr>
        <w:t>mo è allo stesso tempo un uomo a sé e un elemento nel senso del(la) comu(-n-io)ne unitario(a)-unicativo(a) o nell’anagrammatico io comunitario-comunicativo</w:t>
      </w:r>
      <w:r>
        <w:rPr>
          <w:rStyle w:val="Rimandonotaapidipagina"/>
          <w:i w:val="0"/>
          <w:iCs/>
        </w:rPr>
        <w:footnoteReference w:id="2"/>
      </w:r>
      <w:r>
        <w:rPr>
          <w:i w:val="0"/>
          <w:iCs/>
        </w:rPr>
        <w:t>. Tutto ciò che è, in un certo qual modo, ir-ripetibile, unico e assolutamente individuale e “individualizzante” si fa ap-percepire attraverso momenti o viventi unici e ir-ripetibili. L’individualità, apparentemente nasc</w:t>
      </w:r>
      <w:r>
        <w:rPr>
          <w:i w:val="0"/>
          <w:iCs/>
        </w:rPr>
        <w:t>o</w:t>
      </w:r>
      <w:r>
        <w:rPr>
          <w:i w:val="0"/>
          <w:iCs/>
        </w:rPr>
        <w:t>sta e velata dagli elementi fondamentali degli atomi e delle cellule, va “eme</w:t>
      </w:r>
      <w:r>
        <w:rPr>
          <w:i w:val="0"/>
          <w:iCs/>
        </w:rPr>
        <w:t>r</w:t>
      </w:r>
      <w:r>
        <w:rPr>
          <w:i w:val="0"/>
          <w:iCs/>
        </w:rPr>
        <w:t>gendo” man mano che l’universo ed i suoi attori (uomini e donne, animali e piante) si evolvono, rafforzando e migliorando la loro capacità di tras-inform-azione o ad-</w:t>
      </w:r>
      <w:r>
        <w:t>attamento</w:t>
      </w:r>
      <w:r>
        <w:rPr>
          <w:i w:val="0"/>
          <w:iCs/>
        </w:rPr>
        <w:t xml:space="preserve"> e ex-</w:t>
      </w:r>
      <w:r>
        <w:t>attamento</w:t>
      </w:r>
      <w:r>
        <w:rPr>
          <w:i w:val="0"/>
          <w:iCs/>
        </w:rPr>
        <w:t>. L’unicità o ir-ripetibilità individual-personale (di uomini, animali, piante) attraversa ed è attraversata da quell’insieme, complesso, intrecciato, convulso e caotico di fenomeni simili e dissimili e di cose somiglianti e differenti che sono i sistemi naturali e sociali. Ogni essere è una o ha la sua univoca, specifica e atipica impronta ecologica a prescindere che si tratti di uomini, animali o piante, che oltre ad avere in c</w:t>
      </w:r>
      <w:r>
        <w:rPr>
          <w:i w:val="0"/>
          <w:iCs/>
        </w:rPr>
        <w:t>o</w:t>
      </w:r>
      <w:r>
        <w:rPr>
          <w:i w:val="0"/>
          <w:iCs/>
        </w:rPr>
        <w:t>mune il fatto che sono costituiti dalle stesse-differenti cellule e dagli uguali-disuguali atomi e ad essere differenti perché gli uomini hanno la coscienza e gli altri esseri viventi no (?), hanno tutti una loro e unica, misteriosa, storia f</w:t>
      </w:r>
      <w:r>
        <w:rPr>
          <w:i w:val="0"/>
          <w:iCs/>
        </w:rPr>
        <w:t>i</w:t>
      </w:r>
      <w:r>
        <w:rPr>
          <w:i w:val="0"/>
          <w:iCs/>
        </w:rPr>
        <w:t>lo-onto-genetica.</w:t>
      </w:r>
    </w:p>
    <w:p w:rsidR="00620EAB" w:rsidRDefault="00620EAB" w:rsidP="00620EAB">
      <w:pPr>
        <w:pStyle w:val="Rientrocorpodeltesto2"/>
        <w:ind w:left="0" w:right="-30" w:firstLine="284"/>
        <w:rPr>
          <w:i w:val="0"/>
          <w:iCs/>
        </w:rPr>
      </w:pPr>
      <w:r>
        <w:rPr>
          <w:i w:val="0"/>
          <w:iCs/>
        </w:rPr>
        <w:t>Bisogna, quindi, sfruttare (nobilmente) e superare cognitivo-emotiva-mente la posizione che Edoardo Boncinelli esprime nel seguente modo: «Gli uomini, però, sono animali, e ancora prima sono esseri materiali, costituiti di molecole e di atomi. Per simili entità non ha senso parlare di individualità. Come è su</w:t>
      </w:r>
      <w:r>
        <w:rPr>
          <w:i w:val="0"/>
          <w:iCs/>
        </w:rPr>
        <w:t>c</w:t>
      </w:r>
      <w:r>
        <w:rPr>
          <w:i w:val="0"/>
          <w:iCs/>
        </w:rPr>
        <w:t xml:space="preserve">cesso, allora, che questa proprietà per noi così importante sia ‘emersa’ da un mondo di particelle che l’ignora? Va da sé che il problema dell’individualità, inoltre, è connesso con quello venerando dell’ </w:t>
      </w:r>
      <w:r>
        <w:t>hic et nunc</w:t>
      </w:r>
      <w:r>
        <w:rPr>
          <w:i w:val="0"/>
          <w:iCs/>
        </w:rPr>
        <w:t>, del qui e ora»</w:t>
      </w:r>
      <w:r>
        <w:rPr>
          <w:rStyle w:val="Rimandonotaapidipagina"/>
          <w:i w:val="0"/>
          <w:iCs/>
        </w:rPr>
        <w:footnoteReference w:id="3"/>
      </w:r>
      <w:r>
        <w:rPr>
          <w:i w:val="0"/>
          <w:iCs/>
        </w:rPr>
        <w:t>.</w:t>
      </w:r>
    </w:p>
    <w:p w:rsidR="00620EAB" w:rsidRDefault="00620EAB" w:rsidP="00620EAB">
      <w:pPr>
        <w:pStyle w:val="Rientrocorpodeltesto2"/>
        <w:ind w:left="0" w:right="-30" w:firstLine="284"/>
        <w:rPr>
          <w:i w:val="0"/>
          <w:iCs/>
        </w:rPr>
      </w:pPr>
    </w:p>
    <w:p w:rsidR="00620EAB" w:rsidRDefault="00620EAB" w:rsidP="00620EAB">
      <w:pPr>
        <w:pStyle w:val="Rientrocorpodeltesto2"/>
        <w:ind w:left="0" w:right="-30"/>
        <w:jc w:val="center"/>
        <w:rPr>
          <w:i w:val="0"/>
          <w:iCs/>
        </w:rPr>
      </w:pPr>
      <w:r>
        <w:rPr>
          <w:i w:val="0"/>
          <w:iCs/>
        </w:rPr>
        <w:sym w:font="Wingdings" w:char="F0A9"/>
      </w:r>
      <w:r>
        <w:rPr>
          <w:i w:val="0"/>
          <w:iCs/>
        </w:rPr>
        <w:sym w:font="Wingdings" w:char="F0A9"/>
      </w:r>
      <w:r>
        <w:rPr>
          <w:i w:val="0"/>
          <w:iCs/>
        </w:rPr>
        <w:sym w:font="Wingdings" w:char="F0A9"/>
      </w:r>
    </w:p>
    <w:p w:rsidR="00620EAB" w:rsidRDefault="00620EAB" w:rsidP="00620EAB">
      <w:pPr>
        <w:pStyle w:val="Rientrocorpodeltesto2"/>
        <w:ind w:left="0" w:right="-30" w:firstLine="284"/>
        <w:rPr>
          <w:i w:val="0"/>
          <w:iCs/>
        </w:rPr>
      </w:pPr>
    </w:p>
    <w:p w:rsidR="00620EAB" w:rsidRDefault="00620EAB" w:rsidP="00620EAB">
      <w:pPr>
        <w:pStyle w:val="Rientrocorpodeltesto2"/>
        <w:ind w:left="0" w:right="-30" w:firstLine="284"/>
        <w:rPr>
          <w:i w:val="0"/>
          <w:iCs/>
        </w:rPr>
      </w:pPr>
      <w:r>
        <w:rPr>
          <w:i w:val="0"/>
          <w:iCs/>
        </w:rPr>
        <w:t>Come ogni investimento economico ha la sua specifica e univoca forma o dimensione temporale e monetaria, così gli atomi e soprattutto le cellule pr</w:t>
      </w:r>
      <w:r>
        <w:rPr>
          <w:i w:val="0"/>
          <w:iCs/>
        </w:rPr>
        <w:t>e</w:t>
      </w:r>
      <w:r>
        <w:rPr>
          <w:i w:val="0"/>
          <w:iCs/>
        </w:rPr>
        <w:t>sentano forme monetarie, temporali, funzionali ed estetiche le une diverse dalle altre. Le cellule sono nella forma monetaria fino a quando conservano la l</w:t>
      </w:r>
      <w:r>
        <w:rPr>
          <w:i w:val="0"/>
          <w:iCs/>
        </w:rPr>
        <w:t>o</w:t>
      </w:r>
      <w:r>
        <w:rPr>
          <w:i w:val="0"/>
          <w:iCs/>
        </w:rPr>
        <w:t>ro natura staminale indifferenziata (una specie di denaro o ricchezza astratta biologica) che può evolversi, trasformarsi e specializzarsi dando luogo a d</w:t>
      </w:r>
      <w:r>
        <w:rPr>
          <w:i w:val="0"/>
          <w:iCs/>
        </w:rPr>
        <w:t>e</w:t>
      </w:r>
      <w:r>
        <w:rPr>
          <w:i w:val="0"/>
          <w:iCs/>
        </w:rPr>
        <w:t>terminati organi che mantengono l’originalità e la specialità dei loro singoli ed elementari componenti, come le intime relazioni che caratterizzano le parti di un tutto non ne annulla-no le specificità. La forma temporale consiste nel m</w:t>
      </w:r>
      <w:r>
        <w:rPr>
          <w:i w:val="0"/>
          <w:iCs/>
        </w:rPr>
        <w:t>o</w:t>
      </w:r>
      <w:r>
        <w:rPr>
          <w:i w:val="0"/>
          <w:iCs/>
        </w:rPr>
        <w:t xml:space="preserve">do in cui gli </w:t>
      </w:r>
      <w:r>
        <w:t>input</w:t>
      </w:r>
      <w:r>
        <w:rPr>
          <w:i w:val="0"/>
          <w:iCs/>
        </w:rPr>
        <w:t xml:space="preserve"> (immissioni) e gli </w:t>
      </w:r>
      <w:r>
        <w:t>output</w:t>
      </w:r>
      <w:r>
        <w:rPr>
          <w:i w:val="0"/>
          <w:iCs/>
        </w:rPr>
        <w:t xml:space="preserve"> (emissioni) di una cellula si distribuiscono nel tempo, dando luogo ad una certa elasticità o periodo medio di t</w:t>
      </w:r>
      <w:r>
        <w:rPr>
          <w:i w:val="0"/>
          <w:iCs/>
        </w:rPr>
        <w:t>i</w:t>
      </w:r>
      <w:r>
        <w:rPr>
          <w:i w:val="0"/>
          <w:iCs/>
        </w:rPr>
        <w:t>po bio-fisio-logico. L’efficienza e l’efficacia nel funzionamento di un sistema cellulare ne determinano la forma funzionale. Queste tre forme o dimensioni confluiscono in modo creativo nella forma o immagine e(ste)tica di una cellula, di-segnandone la comunicatività e l’incomunicabilità che la rendono, rispettivamente, sana o malata</w:t>
      </w:r>
      <w:r>
        <w:rPr>
          <w:rStyle w:val="Rimandonotaapidipagina"/>
          <w:i w:val="0"/>
          <w:iCs/>
        </w:rPr>
        <w:footnoteReference w:id="4"/>
      </w:r>
      <w:r>
        <w:rPr>
          <w:i w:val="0"/>
          <w:iCs/>
        </w:rPr>
        <w:t>. Con qualche accorgimento e a meno di qua</w:t>
      </w:r>
      <w:r>
        <w:rPr>
          <w:i w:val="0"/>
          <w:iCs/>
        </w:rPr>
        <w:t>l</w:t>
      </w:r>
      <w:r>
        <w:rPr>
          <w:i w:val="0"/>
          <w:iCs/>
        </w:rPr>
        <w:t>che effetto scala e qualità, tendenti a non sottovalutare le differenze tra le due unità che, però, non azzerano le uguaglianze, le stesse considerazioni possono valere anche per gli atomi che formano le molecole.</w:t>
      </w:r>
    </w:p>
    <w:p w:rsidR="00620EAB" w:rsidRDefault="00620EAB" w:rsidP="00620EAB">
      <w:pPr>
        <w:pStyle w:val="Rientrocorpodeltesto2"/>
        <w:ind w:left="0" w:right="-30" w:firstLine="284"/>
        <w:rPr>
          <w:i w:val="0"/>
          <w:iCs/>
        </w:rPr>
      </w:pPr>
      <w:r>
        <w:rPr>
          <w:i w:val="0"/>
          <w:iCs/>
        </w:rPr>
        <w:t>Quindi non avrebbe senso o forse ne avrebbe uno minore o molto diverso parlare di individualità a proposito di tali “entità” se avessimo a che fare solo con gli atomi o le molecole. Ma in tal caso non ci sarebbe la vita e il problema posto da Boncinelli cadrebbe. Invece gli atomi svolgono un ruolo fondament</w:t>
      </w:r>
      <w:r>
        <w:rPr>
          <w:i w:val="0"/>
          <w:iCs/>
        </w:rPr>
        <w:t>a</w:t>
      </w:r>
      <w:r>
        <w:rPr>
          <w:i w:val="0"/>
          <w:iCs/>
        </w:rPr>
        <w:t>le proprio nell’economia complessiva delle molecole e soprattutto delle cell</w:t>
      </w:r>
      <w:r>
        <w:rPr>
          <w:i w:val="0"/>
          <w:iCs/>
        </w:rPr>
        <w:t>u</w:t>
      </w:r>
      <w:r>
        <w:rPr>
          <w:i w:val="0"/>
          <w:iCs/>
        </w:rPr>
        <w:t>le. Allora non bisogna stupirsi che atomi, molecole e cellule siano fasi o el</w:t>
      </w:r>
      <w:r>
        <w:rPr>
          <w:i w:val="0"/>
          <w:iCs/>
        </w:rPr>
        <w:t>e</w:t>
      </w:r>
      <w:r>
        <w:rPr>
          <w:i w:val="0"/>
          <w:iCs/>
        </w:rPr>
        <w:t>menti strategici degli stessi processi vitali indispensabili ma non sufficienti per conferire una forte e caratterizzante individualità agli esseri viventi di cui sono costituenti. Questa non sufficienza viene coperta andando oltre la (analisi) f</w:t>
      </w:r>
      <w:r>
        <w:rPr>
          <w:i w:val="0"/>
          <w:iCs/>
        </w:rPr>
        <w:t>i</w:t>
      </w:r>
      <w:r>
        <w:rPr>
          <w:i w:val="0"/>
          <w:iCs/>
        </w:rPr>
        <w:t>sica della vita attraverso la considerazione delle sue proprietà socio-biologiche. Comportamenti bio-logici e socio-logici in rapporto complement</w:t>
      </w:r>
      <w:r>
        <w:rPr>
          <w:i w:val="0"/>
          <w:iCs/>
        </w:rPr>
        <w:t>a</w:t>
      </w:r>
      <w:r>
        <w:rPr>
          <w:i w:val="0"/>
          <w:iCs/>
        </w:rPr>
        <w:t>re specificano e specializzano i mattoni fondamentali degli esseri viventi cr</w:t>
      </w:r>
      <w:r>
        <w:rPr>
          <w:i w:val="0"/>
          <w:iCs/>
        </w:rPr>
        <w:t>e</w:t>
      </w:r>
      <w:r>
        <w:rPr>
          <w:i w:val="0"/>
          <w:iCs/>
        </w:rPr>
        <w:t>andone, formandone e garantendone l’individualità, in maniera innata e acqu</w:t>
      </w:r>
      <w:r>
        <w:rPr>
          <w:i w:val="0"/>
          <w:iCs/>
        </w:rPr>
        <w:t>i</w:t>
      </w:r>
      <w:r>
        <w:rPr>
          <w:i w:val="0"/>
          <w:iCs/>
        </w:rPr>
        <w:t>sita, per motivazioni genetiche (non assolutamente deterministiche) e per r</w:t>
      </w:r>
      <w:r>
        <w:rPr>
          <w:i w:val="0"/>
          <w:iCs/>
        </w:rPr>
        <w:t>a</w:t>
      </w:r>
      <w:r>
        <w:rPr>
          <w:i w:val="0"/>
          <w:iCs/>
        </w:rPr>
        <w:t>gioni sociali (non assolutamente relativistiche). Così nasce l’armonia della vita o la vita dell’armonia che rispetta le bio-diversità (e dovrebbe rispettare le s</w:t>
      </w:r>
      <w:r>
        <w:rPr>
          <w:i w:val="0"/>
          <w:iCs/>
        </w:rPr>
        <w:t>o</w:t>
      </w:r>
      <w:r>
        <w:rPr>
          <w:i w:val="0"/>
          <w:iCs/>
        </w:rPr>
        <w:t>cio-diversità) fino al punto di non mettere in discussione nemmeno una delle individualità socio-bio-logiche possibili.</w:t>
      </w:r>
    </w:p>
    <w:p w:rsidR="00620EAB" w:rsidRDefault="00620EAB" w:rsidP="00620EAB">
      <w:pPr>
        <w:pStyle w:val="Rientrocorpodeltesto2"/>
        <w:ind w:left="0" w:right="-30" w:firstLine="284"/>
        <w:rPr>
          <w:i w:val="0"/>
          <w:iCs/>
        </w:rPr>
      </w:pPr>
      <w:r>
        <w:rPr>
          <w:i w:val="0"/>
          <w:iCs/>
        </w:rPr>
        <w:t>Il segreto della continuità-rottura o della stabilità-plasticità degli esseri v</w:t>
      </w:r>
      <w:r>
        <w:rPr>
          <w:i w:val="0"/>
          <w:iCs/>
        </w:rPr>
        <w:t>i</w:t>
      </w:r>
      <w:r>
        <w:rPr>
          <w:i w:val="0"/>
          <w:iCs/>
        </w:rPr>
        <w:t>venti dipende dalla combinazione della funzione patrimoniale o del patrim</w:t>
      </w:r>
      <w:r>
        <w:rPr>
          <w:i w:val="0"/>
          <w:iCs/>
        </w:rPr>
        <w:t>o</w:t>
      </w:r>
      <w:r>
        <w:rPr>
          <w:i w:val="0"/>
          <w:iCs/>
        </w:rPr>
        <w:t>nio funzionale del genoma (informazioni filo-onto-genetiche in-scritte nelle cellule di ogni organismo che vengono ininterrottamente im-piegate durante la loro vita) e della predisposizione allo sviluppo e/o all’“apprendimento” istint</w:t>
      </w:r>
      <w:r>
        <w:rPr>
          <w:i w:val="0"/>
          <w:iCs/>
        </w:rPr>
        <w:t>i</w:t>
      </w:r>
      <w:r>
        <w:rPr>
          <w:i w:val="0"/>
          <w:iCs/>
        </w:rPr>
        <w:t>vo (definiti regole epigenetiche, capacità di ad-</w:t>
      </w:r>
      <w:r>
        <w:t>attamento</w:t>
      </w:r>
      <w:r>
        <w:rPr>
          <w:i w:val="0"/>
          <w:iCs/>
        </w:rPr>
        <w:t xml:space="preserve"> o trasinformazione degli organismi individuali, base genetica delle stesse regole epigenetiche, etc.). La natura e l’uomo hanno una comune storia eco-dinamica di co-evoluzioni: la natura creativa, sorprendente, imprevedibile, non ripetitiva, mai uguale a se stessa, cambia continuamente e cambiando manda in-flussi di informazioni all’uomo che con le sue scelte li modifica ininterrottamente. La </w:t>
      </w:r>
      <w:r>
        <w:rPr>
          <w:i w:val="0"/>
          <w:iCs/>
        </w:rPr>
        <w:lastRenderedPageBreak/>
        <w:t>n</w:t>
      </w:r>
      <w:r>
        <w:rPr>
          <w:i w:val="0"/>
          <w:iCs/>
        </w:rPr>
        <w:t>a</w:t>
      </w:r>
      <w:r>
        <w:rPr>
          <w:i w:val="0"/>
          <w:iCs/>
        </w:rPr>
        <w:t>tura e l’uomo sono in continua e reciproca tra-s-in-form-azione, basata sulla accoppiata con-vincente e vitale di energia e informazione</w:t>
      </w:r>
      <w:r>
        <w:rPr>
          <w:rStyle w:val="Rimandonotaapidipagina"/>
          <w:i w:val="0"/>
          <w:iCs/>
        </w:rPr>
        <w:footnoteReference w:id="5"/>
      </w:r>
      <w:r>
        <w:rPr>
          <w:i w:val="0"/>
          <w:iCs/>
        </w:rPr>
        <w:t xml:space="preserve">. </w:t>
      </w:r>
    </w:p>
    <w:p w:rsidR="00620EAB" w:rsidRDefault="00620EAB" w:rsidP="00620EAB">
      <w:pPr>
        <w:pStyle w:val="Rientrocorpodeltesto2"/>
        <w:ind w:left="0" w:right="-30" w:firstLine="284"/>
        <w:rPr>
          <w:i w:val="0"/>
          <w:iCs/>
        </w:rPr>
      </w:pPr>
      <w:r>
        <w:rPr>
          <w:i w:val="0"/>
          <w:iCs/>
        </w:rPr>
        <w:t>L’autocoscienza o coscienza individuale nasce nel linguaggio ed è un f</w:t>
      </w:r>
      <w:r>
        <w:rPr>
          <w:i w:val="0"/>
          <w:iCs/>
        </w:rPr>
        <w:t>e</w:t>
      </w:r>
      <w:r>
        <w:rPr>
          <w:i w:val="0"/>
          <w:iCs/>
        </w:rPr>
        <w:t>nomeno sociale, cioè esterno alla corporeità dei sistemi viventi e riguarda il loro dominio di interazioni come un modo di co-esistere. L’autocoscienza nasce quando gli osservatori tramite l’agire linguistico partecipano alla disti</w:t>
      </w:r>
      <w:r>
        <w:rPr>
          <w:i w:val="0"/>
          <w:iCs/>
        </w:rPr>
        <w:t>n</w:t>
      </w:r>
      <w:r>
        <w:rPr>
          <w:i w:val="0"/>
          <w:iCs/>
        </w:rPr>
        <w:t>zione consensuale del loro partecipare al linguaggio, quindi perché si abbia auto-coscienza o istanza etica bisogna che i sistemi viventi interagendo si a</w:t>
      </w:r>
      <w:r>
        <w:rPr>
          <w:i w:val="0"/>
          <w:iCs/>
        </w:rPr>
        <w:t>u</w:t>
      </w:r>
      <w:r>
        <w:rPr>
          <w:i w:val="0"/>
          <w:iCs/>
        </w:rPr>
        <w:t>to-osservino o auto-descrivano raggiungendo la conoscenza della (loro) con</w:t>
      </w:r>
      <w:r>
        <w:rPr>
          <w:i w:val="0"/>
          <w:iCs/>
        </w:rPr>
        <w:t>o</w:t>
      </w:r>
      <w:r>
        <w:rPr>
          <w:i w:val="0"/>
          <w:iCs/>
        </w:rPr>
        <w:t>scenza o impiegando il linguaggio del linguaggio</w:t>
      </w:r>
      <w:r>
        <w:rPr>
          <w:rStyle w:val="Rimandonotaapidipagina"/>
          <w:i w:val="0"/>
          <w:iCs/>
        </w:rPr>
        <w:footnoteReference w:id="6"/>
      </w:r>
      <w:r>
        <w:rPr>
          <w:i w:val="0"/>
          <w:iCs/>
        </w:rPr>
        <w:t xml:space="preserve">. </w:t>
      </w:r>
    </w:p>
    <w:p w:rsidR="00620EAB" w:rsidRDefault="00620EAB" w:rsidP="00620EAB">
      <w:pPr>
        <w:pStyle w:val="Rientrocorpodeltesto2"/>
        <w:ind w:left="0" w:right="-30" w:firstLine="284"/>
        <w:rPr>
          <w:i w:val="0"/>
          <w:iCs/>
        </w:rPr>
      </w:pPr>
      <w:r>
        <w:rPr>
          <w:i w:val="0"/>
          <w:iCs/>
        </w:rPr>
        <w:t>Avere “contatto” o consapevolezza psico-fisica con e della propria indiv</w:t>
      </w:r>
      <w:r>
        <w:rPr>
          <w:i w:val="0"/>
          <w:iCs/>
        </w:rPr>
        <w:t>i</w:t>
      </w:r>
      <w:r>
        <w:rPr>
          <w:i w:val="0"/>
          <w:iCs/>
        </w:rPr>
        <w:t>dualità non è altro che la formazione dell’auto-coscienza o dell’io-comunitario-comunicante che entra subito in rapporto con l’altra realtà o la realtà altra degli esseri viventi e della natura e rende possibile agli uman(oid)i [che senza alcuna irriverenza, anzi in-corporando Dio negli uomini, è meglio chiamare uman(Dio-d)i] di “selezionare e gestire il maggior numero possibile di informazioni” utili nelle traversie delle conservazioni (da cui dipende la s</w:t>
      </w:r>
      <w:r>
        <w:rPr>
          <w:i w:val="0"/>
          <w:iCs/>
        </w:rPr>
        <w:t>i</w:t>
      </w:r>
      <w:r>
        <w:rPr>
          <w:i w:val="0"/>
          <w:iCs/>
        </w:rPr>
        <w:t>curezza delle specie), fluttuazioni (fenotipiche) e mutazioni (genotipiche) della loro esistenza.</w:t>
      </w:r>
    </w:p>
    <w:p w:rsidR="00620EAB" w:rsidRDefault="00620EAB" w:rsidP="00620EAB">
      <w:pPr>
        <w:pStyle w:val="Rientrocorpodeltesto2"/>
        <w:ind w:left="0" w:right="-30" w:firstLine="284"/>
        <w:rPr>
          <w:i w:val="0"/>
          <w:iCs/>
        </w:rPr>
      </w:pPr>
      <w:r>
        <w:rPr>
          <w:i w:val="0"/>
          <w:iCs/>
        </w:rPr>
        <w:t>In tal modo è possibile spiegare l’affiorare dell’individulità a partire da una matrice fisico-biologica apparentemente indistinta e omogenea. «Si tratta di una cosiddetta ‘proprietà emergente’– dice Boncinelli – … Un elettrone o un quark non hanno alcuna individualità, nemmeno potenziale. Un atomo ne ha un sentore. Una grossa molecola come il Dna o un sasso ce l’hanno certame</w:t>
      </w:r>
      <w:r>
        <w:rPr>
          <w:i w:val="0"/>
          <w:iCs/>
        </w:rPr>
        <w:t>n</w:t>
      </w:r>
      <w:r>
        <w:rPr>
          <w:i w:val="0"/>
          <w:iCs/>
        </w:rPr>
        <w:t>te, anche se noi non ci facciamo molto caso. Un batterio ne ha un po’, una m</w:t>
      </w:r>
      <w:r>
        <w:rPr>
          <w:i w:val="0"/>
          <w:iCs/>
        </w:rPr>
        <w:t>o</w:t>
      </w:r>
      <w:r>
        <w:rPr>
          <w:i w:val="0"/>
          <w:iCs/>
        </w:rPr>
        <w:t>sca un po' di più, un topolino un po’ di più ancora; un cane ne ha molto di più, e continuando lungo questa catena si arriva fino agli esseri umani, che non s</w:t>
      </w:r>
      <w:r>
        <w:rPr>
          <w:i w:val="0"/>
          <w:iCs/>
        </w:rPr>
        <w:t>o</w:t>
      </w:r>
      <w:r>
        <w:rPr>
          <w:i w:val="0"/>
          <w:iCs/>
        </w:rPr>
        <w:t>lo possiedono un’individualità ben definita, ma la considerano molto impo</w:t>
      </w:r>
      <w:r>
        <w:rPr>
          <w:i w:val="0"/>
          <w:iCs/>
        </w:rPr>
        <w:t>r</w:t>
      </w:r>
      <w:r>
        <w:rPr>
          <w:i w:val="0"/>
          <w:iCs/>
        </w:rPr>
        <w:t>tante per loro». Questa conclusione, caratterizzata da un solenne e contagiante crescendo, ri-mette il problema dell’individualità nel suo giusto alveo filo-onto-antropo-genetico, a meno di una qualche riserva sull’automatismo evol</w:t>
      </w:r>
      <w:r>
        <w:rPr>
          <w:i w:val="0"/>
          <w:iCs/>
        </w:rPr>
        <w:t>u</w:t>
      </w:r>
      <w:r>
        <w:rPr>
          <w:i w:val="0"/>
          <w:iCs/>
        </w:rPr>
        <w:t>tivo che nei termini in cui viene e-semplificato dall’illustre fisico-biologo a</w:t>
      </w:r>
      <w:r>
        <w:rPr>
          <w:i w:val="0"/>
          <w:iCs/>
        </w:rPr>
        <w:t>p</w:t>
      </w:r>
      <w:r>
        <w:rPr>
          <w:i w:val="0"/>
          <w:iCs/>
        </w:rPr>
        <w:t>pare, seppure nella sua ineludibile complessità, più lineare di quanto dovrebbe essere, escludendo, a prima vista, la possibilità di ritorni all’indietro o al fut</w:t>
      </w:r>
      <w:r>
        <w:rPr>
          <w:i w:val="0"/>
          <w:iCs/>
        </w:rPr>
        <w:t>u</w:t>
      </w:r>
      <w:r>
        <w:rPr>
          <w:i w:val="0"/>
          <w:iCs/>
        </w:rPr>
        <w:t>ro, di balzi, rimbalzi e controbalzi, insomma di causalità reciproche e/o retro</w:t>
      </w:r>
      <w:r>
        <w:rPr>
          <w:i w:val="0"/>
          <w:iCs/>
        </w:rPr>
        <w:t>a</w:t>
      </w:r>
      <w:r>
        <w:rPr>
          <w:i w:val="0"/>
          <w:iCs/>
        </w:rPr>
        <w:t>zioni. Comunque, grazie a questo articolo ho potuto ap-prendere e verificare alcune componenti importanti della problematica che sto semplicemente p</w:t>
      </w:r>
      <w:r>
        <w:rPr>
          <w:i w:val="0"/>
          <w:iCs/>
        </w:rPr>
        <w:t>o</w:t>
      </w:r>
      <w:r>
        <w:rPr>
          <w:i w:val="0"/>
          <w:iCs/>
        </w:rPr>
        <w:t>nendo all’attenzione di qualche studioso che preferisce il (minor) rischio del rischio piuttosto che il (maggiore) rischio del non rischio. Ora ritorno alla st</w:t>
      </w:r>
      <w:r>
        <w:rPr>
          <w:i w:val="0"/>
          <w:iCs/>
        </w:rPr>
        <w:t>o</w:t>
      </w:r>
      <w:r>
        <w:rPr>
          <w:i w:val="0"/>
          <w:iCs/>
        </w:rPr>
        <w:t xml:space="preserve">ria della cellula o alla cellula della storia della vita che è il tema pre-scelto in omaggio al mio collega spagnolo. </w:t>
      </w:r>
    </w:p>
    <w:p w:rsidR="00620EAB" w:rsidRDefault="00620EAB" w:rsidP="00620EAB">
      <w:pPr>
        <w:pStyle w:val="Rientrocorpodeltesto2"/>
        <w:ind w:left="0" w:right="-30" w:firstLine="284"/>
        <w:rPr>
          <w:i w:val="0"/>
          <w:iCs/>
        </w:rPr>
      </w:pPr>
    </w:p>
    <w:p w:rsidR="00620EAB" w:rsidRDefault="00620EAB" w:rsidP="00620EAB">
      <w:pPr>
        <w:pStyle w:val="Rientrocorpodeltesto2"/>
        <w:ind w:left="0" w:right="-30"/>
        <w:jc w:val="center"/>
        <w:rPr>
          <w:i w:val="0"/>
          <w:iCs/>
        </w:rPr>
      </w:pPr>
      <w:r>
        <w:rPr>
          <w:i w:val="0"/>
          <w:iCs/>
        </w:rPr>
        <w:sym w:font="Wingdings" w:char="F0A9"/>
      </w:r>
      <w:r>
        <w:rPr>
          <w:i w:val="0"/>
          <w:iCs/>
        </w:rPr>
        <w:sym w:font="Wingdings" w:char="F0A9"/>
      </w:r>
      <w:r>
        <w:rPr>
          <w:i w:val="0"/>
          <w:iCs/>
        </w:rPr>
        <w:sym w:font="Wingdings" w:char="F0A9"/>
      </w:r>
    </w:p>
    <w:p w:rsidR="00620EAB" w:rsidRDefault="00620EAB" w:rsidP="00620EAB">
      <w:pPr>
        <w:pStyle w:val="Rientrocorpodeltesto2"/>
        <w:ind w:left="0" w:right="-30" w:firstLine="284"/>
        <w:rPr>
          <w:i w:val="0"/>
          <w:iCs/>
        </w:rPr>
      </w:pPr>
    </w:p>
    <w:p w:rsidR="00620EAB" w:rsidRDefault="00620EAB" w:rsidP="00620EAB">
      <w:pPr>
        <w:pStyle w:val="Rientrocorpodeltesto2"/>
        <w:ind w:left="0" w:right="-30" w:firstLine="284"/>
        <w:rPr>
          <w:i w:val="0"/>
          <w:iCs/>
        </w:rPr>
      </w:pPr>
      <w:r>
        <w:rPr>
          <w:i w:val="0"/>
          <w:iCs/>
        </w:rPr>
        <w:t xml:space="preserve">Ogni cellula svolge un processo di tras-in(o de)-formazione i cui </w:t>
      </w:r>
      <w:r>
        <w:t>input</w:t>
      </w:r>
      <w:r>
        <w:rPr>
          <w:i w:val="0"/>
          <w:iCs/>
        </w:rPr>
        <w:t xml:space="preserve"> e </w:t>
      </w:r>
      <w:r>
        <w:t>output</w:t>
      </w:r>
      <w:r>
        <w:rPr>
          <w:i w:val="0"/>
          <w:iCs/>
        </w:rPr>
        <w:t xml:space="preserve"> sono energia, materia e informazione, seppure in forme diverse. Anche in questo caso è possibile-necessario scegliere e introdurre dei pesi (indici di ponderazione o importanza o significatività relativa) e “calcolare” i gradi complessivi di azione di ogni criterio (corrispondente ad ogni variabile di fu</w:t>
      </w:r>
      <w:r>
        <w:rPr>
          <w:i w:val="0"/>
          <w:iCs/>
        </w:rPr>
        <w:t>n</w:t>
      </w:r>
      <w:r>
        <w:rPr>
          <w:i w:val="0"/>
          <w:iCs/>
        </w:rPr>
        <w:t>zionamento bio-fisio-eco-logico) della cellula considerata e del grado di a</w:t>
      </w:r>
      <w:r>
        <w:rPr>
          <w:i w:val="0"/>
          <w:iCs/>
        </w:rPr>
        <w:t>p</w:t>
      </w:r>
      <w:r>
        <w:rPr>
          <w:i w:val="0"/>
          <w:iCs/>
        </w:rPr>
        <w:t>prezzamento o funzionamento totale dell’intera cellula. In tal modo si può: conoscere, stabilendo delle opportune soglie di concordanza (restandovi al di sotto) o di dis-cordanza (o superandole) e viceversa, la fisiologia o la patol</w:t>
      </w:r>
      <w:r>
        <w:rPr>
          <w:i w:val="0"/>
          <w:iCs/>
        </w:rPr>
        <w:t>o</w:t>
      </w:r>
      <w:r>
        <w:rPr>
          <w:i w:val="0"/>
          <w:iCs/>
        </w:rPr>
        <w:t>gia funzional-strutturale di ogni cellula o di un gruppo di cellule, rispetto alle altre che costituiscono gli organi vicini o lontani dell’organismo; verificare il quadro semio-sintomatologico, il quoziente informativo, il grado di interazi</w:t>
      </w:r>
      <w:r>
        <w:rPr>
          <w:i w:val="0"/>
          <w:iCs/>
        </w:rPr>
        <w:t>o</w:t>
      </w:r>
      <w:r>
        <w:rPr>
          <w:i w:val="0"/>
          <w:iCs/>
        </w:rPr>
        <w:t>ne comunicativa, la consistenza della rete di collegamento organico, la prese</w:t>
      </w:r>
      <w:r>
        <w:rPr>
          <w:i w:val="0"/>
          <w:iCs/>
        </w:rPr>
        <w:t>n</w:t>
      </w:r>
      <w:r>
        <w:rPr>
          <w:i w:val="0"/>
          <w:iCs/>
        </w:rPr>
        <w:t xml:space="preserve">za di presidi naturali o acquisiti (anticorpi da violenza o stress causato da </w:t>
      </w:r>
      <w:r>
        <w:rPr>
          <w:i w:val="0"/>
          <w:iCs/>
        </w:rPr>
        <w:t>e</w:t>
      </w:r>
      <w:r>
        <w:rPr>
          <w:i w:val="0"/>
          <w:iCs/>
        </w:rPr>
        <w:t>ventuali vaccinazioni) e infine la possibilità e i tempi per arrestare i processi degenerativi che possono interessarla e l’elasticità di riconversione, sostit</w:t>
      </w:r>
      <w:r>
        <w:rPr>
          <w:i w:val="0"/>
          <w:iCs/>
        </w:rPr>
        <w:t>u</w:t>
      </w:r>
      <w:r>
        <w:rPr>
          <w:i w:val="0"/>
          <w:iCs/>
        </w:rPr>
        <w:t xml:space="preserve">zione, ri-specializzazione (con o senza le speciali monete costituite dalle cellule staminali più o meno indifferenziate) delle cellule singole e associate; predisporre interventi per migliorare la loro </w:t>
      </w:r>
      <w:r>
        <w:t>performance</w:t>
      </w:r>
      <w:r>
        <w:rPr>
          <w:i w:val="0"/>
          <w:iCs/>
        </w:rPr>
        <w:t xml:space="preserve"> o per attuare terapie pr</w:t>
      </w:r>
      <w:r>
        <w:rPr>
          <w:i w:val="0"/>
          <w:iCs/>
        </w:rPr>
        <w:t>e</w:t>
      </w:r>
      <w:r>
        <w:rPr>
          <w:i w:val="0"/>
          <w:iCs/>
        </w:rPr>
        <w:t>ventive, curative e riabilitative degli organi(smi) difettosi per ragioni naturali e acquisite.</w:t>
      </w:r>
    </w:p>
    <w:p w:rsidR="00620EAB" w:rsidRDefault="00620EAB" w:rsidP="00620EAB">
      <w:pPr>
        <w:pStyle w:val="Rientrocorpodeltesto2"/>
        <w:ind w:left="0" w:right="-30" w:firstLine="284"/>
        <w:rPr>
          <w:i w:val="0"/>
          <w:iCs/>
        </w:rPr>
      </w:pPr>
      <w:r>
        <w:rPr>
          <w:i w:val="0"/>
          <w:iCs/>
        </w:rPr>
        <w:lastRenderedPageBreak/>
        <w:t>Lo sviluppo embrionale di un organismo è un fenomeno molto complesso che deve assicurare la formazione dei tessuti e degli organi di cui è composto il corpo, nella loro giusta disposizione strutturale e piena funzionalità a partire dalla singola cellula-uovo fecondata. Il controllo bio-genetico di questo pr</w:t>
      </w:r>
      <w:r>
        <w:rPr>
          <w:i w:val="0"/>
          <w:iCs/>
        </w:rPr>
        <w:t>o</w:t>
      </w:r>
      <w:r>
        <w:rPr>
          <w:i w:val="0"/>
          <w:iCs/>
        </w:rPr>
        <w:t>cesso di tras-in(o de-)form-azione viene svolto, come la ricerca a partire dal gruppo dello svizzero Walter Gehring ha dimostrato, da alcuni geni “regolat</w:t>
      </w:r>
      <w:r>
        <w:rPr>
          <w:i w:val="0"/>
          <w:iCs/>
        </w:rPr>
        <w:t>o</w:t>
      </w:r>
      <w:r>
        <w:rPr>
          <w:i w:val="0"/>
          <w:iCs/>
        </w:rPr>
        <w:t>ri” che elaborano il programma generale del corpo e ne suggeriscono (o ord</w:t>
      </w:r>
      <w:r>
        <w:rPr>
          <w:i w:val="0"/>
          <w:iCs/>
        </w:rPr>
        <w:t>i</w:t>
      </w:r>
      <w:r>
        <w:rPr>
          <w:i w:val="0"/>
          <w:iCs/>
        </w:rPr>
        <w:t>nano ?) la realizzazione ad altri geni chiamati “esecutori”. I geni omeotici dei corrispondenti mutanti (del moscerino dell’aceto, la piccola drosofila) che po</w:t>
      </w:r>
      <w:r>
        <w:rPr>
          <w:i w:val="0"/>
          <w:iCs/>
        </w:rPr>
        <w:t>r</w:t>
      </w:r>
      <w:r>
        <w:rPr>
          <w:i w:val="0"/>
          <w:iCs/>
        </w:rPr>
        <w:t xml:space="preserve">tano la loro stessa denominazione, contengono un comune motivo strutturale, una specie di </w:t>
      </w:r>
      <w:r>
        <w:t>griffe</w:t>
      </w:r>
      <w:r>
        <w:rPr>
          <w:i w:val="0"/>
          <w:iCs/>
        </w:rPr>
        <w:t xml:space="preserve">, chiamata </w:t>
      </w:r>
      <w:r>
        <w:t>omeobox</w:t>
      </w:r>
      <w:r>
        <w:rPr>
          <w:rStyle w:val="Rimandonotaapidipagina"/>
          <w:i w:val="0"/>
          <w:iCs/>
        </w:rPr>
        <w:footnoteReference w:id="7"/>
      </w:r>
      <w:r>
        <w:rPr>
          <w:i w:val="0"/>
          <w:iCs/>
        </w:rPr>
        <w:t xml:space="preserve">. Questi geni </w:t>
      </w:r>
      <w:r>
        <w:t>omeobox</w:t>
      </w:r>
      <w:r>
        <w:rPr>
          <w:i w:val="0"/>
          <w:iCs/>
        </w:rPr>
        <w:t xml:space="preserve"> o </w:t>
      </w:r>
      <w:r>
        <w:t>omeogeni</w:t>
      </w:r>
      <w:r>
        <w:rPr>
          <w:i w:val="0"/>
          <w:iCs/>
        </w:rPr>
        <w:t xml:space="preserve"> svolgono una funzione regolatrice per la loro potente attività di controllo di tutti gli altri geni, esercitata grazie alle scelte e ai “calcoli” dovuti all’informazione prodotta dalla capacità computazional-cognitiva dell’organizzazione funzional-strutturale che costituiscono e contribuiscono a formare. I geni </w:t>
      </w:r>
      <w:r>
        <w:t>omeobox</w:t>
      </w:r>
      <w:r>
        <w:rPr>
          <w:i w:val="0"/>
          <w:iCs/>
        </w:rPr>
        <w:t xml:space="preserve"> puntano a scoprire i segreti della vita e della sua ev</w:t>
      </w:r>
      <w:r>
        <w:rPr>
          <w:i w:val="0"/>
          <w:iCs/>
        </w:rPr>
        <w:t>o</w:t>
      </w:r>
      <w:r>
        <w:rPr>
          <w:i w:val="0"/>
          <w:iCs/>
        </w:rPr>
        <w:t>luzione, senza perseguire o procurarsi la dis-illusione di profanare la vita dei segreti, la velata magia dell’ignoto, la meraviglia della diversità, univocità e irripetibilità di ogni essere. Anche i colori – sofferenza, splendore ed epifania della luce – sintetizzano le infinite modulazioni racchiuse nel suono musicale e nell’arte naturale di ogni cellula. Meno male che gli esseri viventi non sono tutti uguali, altrimenti perderebbero o vedrebbero ridursi il valore del loro e</w:t>
      </w:r>
      <w:r>
        <w:rPr>
          <w:i w:val="0"/>
          <w:iCs/>
        </w:rPr>
        <w:t>s</w:t>
      </w:r>
      <w:r>
        <w:rPr>
          <w:i w:val="0"/>
          <w:iCs/>
        </w:rPr>
        <w:t>sere</w:t>
      </w:r>
      <w:r>
        <w:rPr>
          <w:rStyle w:val="Rimandonotaapidipagina"/>
          <w:i w:val="0"/>
          <w:iCs/>
        </w:rPr>
        <w:footnoteReference w:id="8"/>
      </w:r>
      <w:r>
        <w:rPr>
          <w:i w:val="0"/>
          <w:iCs/>
        </w:rPr>
        <w:t>. Se la natura è fiera della sua (bio-)diversità (e ne ostenta la ricchezza), la cultura, talvolta, sembra nascondere (e vergognarsi del) la sua (socio-)diversità. Stranezze della vita o della morte?</w:t>
      </w:r>
    </w:p>
    <w:p w:rsidR="00620EAB" w:rsidRDefault="00620EAB" w:rsidP="00620EAB">
      <w:pPr>
        <w:pStyle w:val="Rientrocorpodeltesto2"/>
        <w:ind w:left="0" w:right="-30" w:firstLine="284"/>
        <w:rPr>
          <w:i w:val="0"/>
          <w:iCs/>
        </w:rPr>
      </w:pPr>
    </w:p>
    <w:p w:rsidR="00620EAB" w:rsidRDefault="00620EAB" w:rsidP="00620EAB">
      <w:pPr>
        <w:pStyle w:val="Rientrocorpodeltesto2"/>
        <w:ind w:left="0" w:right="-30"/>
        <w:jc w:val="center"/>
        <w:rPr>
          <w:i w:val="0"/>
          <w:iCs/>
        </w:rPr>
      </w:pPr>
      <w:r>
        <w:rPr>
          <w:i w:val="0"/>
          <w:iCs/>
        </w:rPr>
        <w:sym w:font="Wingdings" w:char="F0A9"/>
      </w:r>
      <w:r>
        <w:rPr>
          <w:i w:val="0"/>
          <w:iCs/>
        </w:rPr>
        <w:sym w:font="Wingdings" w:char="F0A9"/>
      </w:r>
      <w:r>
        <w:rPr>
          <w:i w:val="0"/>
          <w:iCs/>
        </w:rPr>
        <w:sym w:font="Wingdings" w:char="F0A9"/>
      </w:r>
    </w:p>
    <w:p w:rsidR="00620EAB" w:rsidRDefault="00620EAB" w:rsidP="00620EAB">
      <w:pPr>
        <w:pStyle w:val="Rientrocorpodeltesto2"/>
        <w:ind w:left="0" w:right="-30" w:firstLine="284"/>
        <w:rPr>
          <w:i w:val="0"/>
          <w:iCs/>
        </w:rPr>
      </w:pPr>
    </w:p>
    <w:p w:rsidR="00620EAB" w:rsidRDefault="00620EAB" w:rsidP="00620EAB">
      <w:pPr>
        <w:pStyle w:val="Rientrocorpodeltesto2"/>
        <w:ind w:left="0" w:right="-30" w:firstLine="284"/>
      </w:pPr>
      <w:r>
        <w:rPr>
          <w:i w:val="0"/>
          <w:iCs/>
        </w:rPr>
        <w:t>Questi cenni non debbono fare storcere il naso né far venire la stizza a ne</w:t>
      </w:r>
      <w:r>
        <w:rPr>
          <w:i w:val="0"/>
          <w:iCs/>
        </w:rPr>
        <w:t>s</w:t>
      </w:r>
      <w:r>
        <w:rPr>
          <w:i w:val="0"/>
          <w:iCs/>
        </w:rPr>
        <w:t>suno. Non sono un tuttologo né desidero abban-donare gli studi economico-estimativi per riconvertirmi alla analisi fisio-patologica delle unità cellulari degli essere viventi, bensì un generalista consapevole che mai come in questo momento di grande e insostenibile sovraccarico esistenziale e cognitivo le si</w:t>
      </w:r>
      <w:r>
        <w:rPr>
          <w:i w:val="0"/>
          <w:iCs/>
        </w:rPr>
        <w:t>n</w:t>
      </w:r>
      <w:r>
        <w:rPr>
          <w:i w:val="0"/>
          <w:iCs/>
        </w:rPr>
        <w:t>gole discipline scientifiche (o umanistico-letterarie) lanciano disperate grida di soccorso, invocano l’aiuto di tutte le competenze (domini intellettuali e del s</w:t>
      </w:r>
      <w:r>
        <w:rPr>
          <w:i w:val="0"/>
          <w:iCs/>
        </w:rPr>
        <w:t>a</w:t>
      </w:r>
      <w:r>
        <w:rPr>
          <w:i w:val="0"/>
          <w:iCs/>
        </w:rPr>
        <w:t>pere) e le esperienze (domini del fare e dell’agire). Insomma, è arrivato o ri-tornato il tempo della riconciliazione cosmica o ecumenica, del ristabilimento della alleanza delle scienze naturali e umane e della riunific-azione (che è poi la ri-scoperta di cose dal sapore antico) delle azioni vitali e conoscitive. Ce ne avvantaggeremmo tutti: donne e uomini, studiosi di professione e vive</w:t>
      </w:r>
      <w:r>
        <w:rPr>
          <w:i w:val="0"/>
          <w:iCs/>
        </w:rPr>
        <w:t>n</w:t>
      </w:r>
      <w:r>
        <w:rPr>
          <w:i w:val="0"/>
          <w:iCs/>
        </w:rPr>
        <w:t>ti in generale, cittadini della terra e emigranti alla ricerca della porta del Cielo, s-oggetti di natura e di cultura, animali e piante, esperti di prosa e amanti di poesia, comunque uomini e donne di cui bisogna riconoscere e rispettare gel</w:t>
      </w:r>
      <w:r>
        <w:rPr>
          <w:i w:val="0"/>
          <w:iCs/>
        </w:rPr>
        <w:t>o</w:t>
      </w:r>
      <w:r>
        <w:rPr>
          <w:i w:val="0"/>
          <w:iCs/>
        </w:rPr>
        <w:t>samente la dignità e i diritti umani e che liberamente possono scegliere di a</w:t>
      </w:r>
      <w:r>
        <w:rPr>
          <w:i w:val="0"/>
          <w:iCs/>
        </w:rPr>
        <w:t>p</w:t>
      </w:r>
      <w:r>
        <w:rPr>
          <w:i w:val="0"/>
          <w:iCs/>
        </w:rPr>
        <w:t>plicare il principale comandamento della vita naturale e soprannaturale: «</w:t>
      </w:r>
      <w:r>
        <w:rPr>
          <w:i w:val="0"/>
          <w:iCs/>
        </w:rPr>
        <w:t>A</w:t>
      </w:r>
      <w:r>
        <w:rPr>
          <w:i w:val="0"/>
          <w:iCs/>
        </w:rPr>
        <w:t>merai il Signore Dio tuo con tutto il tuo cuore, con tutta l’anima tua, con tutta la tua mente. Questo è il massimo e primo comandamento. Il secondo poi è simile a questo; Amerai il prossimo tuo come te stesso»</w:t>
      </w:r>
      <w:r>
        <w:rPr>
          <w:rStyle w:val="Rimandonotaapidipagina"/>
          <w:i w:val="0"/>
          <w:iCs/>
        </w:rPr>
        <w:footnoteReference w:id="9"/>
      </w:r>
      <w:r>
        <w:rPr>
          <w:i w:val="0"/>
          <w:iCs/>
        </w:rPr>
        <w:t>.</w:t>
      </w:r>
    </w:p>
    <w:p w:rsidR="007161EF" w:rsidRDefault="007161EF"/>
    <w:sectPr w:rsidR="007161EF" w:rsidSect="007161EF">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29B" w:rsidRDefault="00A7529B" w:rsidP="00620EAB">
      <w:pPr>
        <w:spacing w:after="0" w:line="240" w:lineRule="auto"/>
      </w:pPr>
      <w:r>
        <w:separator/>
      </w:r>
    </w:p>
  </w:endnote>
  <w:endnote w:type="continuationSeparator" w:id="1">
    <w:p w:rsidR="00A7529B" w:rsidRDefault="00A7529B" w:rsidP="00620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29B" w:rsidRDefault="00A7529B" w:rsidP="00620EAB">
      <w:pPr>
        <w:spacing w:after="0" w:line="240" w:lineRule="auto"/>
      </w:pPr>
      <w:r>
        <w:separator/>
      </w:r>
    </w:p>
  </w:footnote>
  <w:footnote w:type="continuationSeparator" w:id="1">
    <w:p w:rsidR="00A7529B" w:rsidRDefault="00A7529B" w:rsidP="00620EAB">
      <w:pPr>
        <w:spacing w:after="0" w:line="240" w:lineRule="auto"/>
      </w:pPr>
      <w:r>
        <w:continuationSeparator/>
      </w:r>
    </w:p>
  </w:footnote>
  <w:footnote w:id="2">
    <w:p w:rsidR="00620EAB" w:rsidRDefault="00620EAB" w:rsidP="00620EAB">
      <w:pPr>
        <w:pStyle w:val="Testonotaapidipagina"/>
      </w:pPr>
      <w:r>
        <w:rPr>
          <w:rStyle w:val="Rimandonotaapidipagina"/>
        </w:rPr>
        <w:footnoteRef/>
      </w:r>
      <w:r>
        <w:t xml:space="preserve"> Sono le ore 15 e 40 del 30 ottobre. Ho finito di digitare la proposizione pensata nel dormiv</w:t>
      </w:r>
      <w:r>
        <w:t>e</w:t>
      </w:r>
      <w:r>
        <w:t xml:space="preserve">glia, un istante prima di alzarmi dal letto dopo aver fatto un pisolino, e conclusa da questa nota, e non posso non dirvi che alle ore 10 e 30 di questa mattina ho mandato una </w:t>
      </w:r>
      <w:r>
        <w:rPr>
          <w:i/>
          <w:iCs/>
        </w:rPr>
        <w:t>mail</w:t>
      </w:r>
      <w:r>
        <w:t xml:space="preserve"> a Michele Malgeri, per facilitargli la compilazione dell’orario delle lezioni del corso di laurea in Ingegn</w:t>
      </w:r>
      <w:r>
        <w:t>e</w:t>
      </w:r>
      <w:r>
        <w:t>ria Telematica nella sede decentrata di Enna, con il seguente oggetto: francescorizzoeconomi</w:t>
      </w:r>
      <w:r>
        <w:t>a</w:t>
      </w:r>
      <w:r>
        <w:t xml:space="preserve">eculturad’impresatelematicaenna. Circa due ore fa ho letto un articolo di Massimo Piattelli Palmarini “Imparare la lingua? Questione di calcolo. La funzione della statistica e del ritmo nell’apprendimento infantile” nella terza Pagina del </w:t>
      </w:r>
      <w:r>
        <w:rPr>
          <w:i/>
          <w:iCs/>
        </w:rPr>
        <w:t xml:space="preserve">Corriere della Sera </w:t>
      </w:r>
      <w:r>
        <w:t>che inizia così: «I</w:t>
      </w:r>
      <w:r>
        <w:t>m</w:t>
      </w:r>
      <w:r>
        <w:t>maginate di sentire, invece di leggere, quanto segue: “uncanenonabbaiamaiquandomangia”. Per un italiano è facilissimo spezzare questa catena di suoni (in questo caso lettere stampate) in si</w:t>
      </w:r>
      <w:r>
        <w:t>n</w:t>
      </w:r>
      <w:r>
        <w:t>gole parole. Se questo ci suona peregrino e sforzato è perché non ci rendiamo conto che, nel parlare, non (devo insistere su questo non) introduciamo attimi di silenzio, nemmeno minimi, tra una parola e l’altra». Quello di spezzare un flusso continuo di una lingua (straniera) in vere e distinte parole è un problema complicato e difficile per i bambini “piccolissimi” (e per gli adulti che non conoscono quella lingua), perché non è a soluzione unica, ma può avere moltepl</w:t>
      </w:r>
      <w:r>
        <w:t>i</w:t>
      </w:r>
      <w:r>
        <w:t>ci soluzioni in ragione dei diversi contesti linguistici, idiomatici, proposizionali, logico-spazial-temporali. Tanto è vero che lavorando o giocando con l’espressione “com-unione-unitaria-unicativa”, senza accorgermene e spontaneamente (almeno apparentemente), l’ho cambiata nell’io comunitario-comunicativo. Io faccio spesso questi giochetti che sono alla base dell’ap-prendimento di una lingua e vengono svolti «così rapidamente e così efficacemente da qualsiasi bimbo del mondo», come linguisti, psico-linguisti e scienziati cognitivi stanno incominciando a capire. Difatti, sin dalla nascita, il bambino, in modo sub(o in)conscio, acquisisce e valorizza una certa chiave ritmica che lo porta, con il rischio di sbagliare, a spezzettare con criteri, stat</w:t>
      </w:r>
      <w:r>
        <w:t>i</w:t>
      </w:r>
      <w:r>
        <w:t>stico-probabilistici caratterizzati da una soggettività oggettiva o oggettività soggettiva, le sillabe o le lettere delle parole, usando una sorta di punteggiatura ap-percettivo-cognitiva. Si tratta di ir-regolarità statistiche che, creando ordine dal disordine attraverso ordini dis-ordinati o dis-ordini ordinati, consentono agli adulti di aumentare o addirittura creare il contenuto informativo delle proposizioni linguistiche e/o matematiche. Passando da un “calcolo mentale” ad un altro si creano quei valori che caratterizzano tutti i regimi connotativi, compresi quelli economico-biologici. Il linguaggio matematico, in questa stessa ana-logica, non spezza la catena dei num</w:t>
      </w:r>
      <w:r>
        <w:t>e</w:t>
      </w:r>
      <w:r>
        <w:t>ri quando li traduce in lettere continue, cioè non ritmicamente distanziate, come ad es., “cent</w:t>
      </w:r>
      <w:r>
        <w:t>o</w:t>
      </w:r>
      <w:r>
        <w:t>quarantaquattromila” che è il numero dei numeri nella visione biblica dell’Apocalisse. L’insieme coordinato, protocollare e procedurale di eventi che, a partire dalla lettera elettronica inviata a Malgeri, ha fortemente e misteriosamente contras-segnato questa giornata mi ha co</w:t>
      </w:r>
      <w:r>
        <w:t>n</w:t>
      </w:r>
      <w:r>
        <w:t>cesso di sperimentare, inventare e conoscere, in maniera non prevista o programmata, un tale importantissimo av-venimento esistenziale e cognitivo.</w:t>
      </w:r>
    </w:p>
  </w:footnote>
  <w:footnote w:id="3">
    <w:p w:rsidR="00620EAB" w:rsidRDefault="00620EAB" w:rsidP="00620EAB">
      <w:pPr>
        <w:pStyle w:val="Testonotaapidipagina"/>
      </w:pPr>
      <w:r>
        <w:rPr>
          <w:rStyle w:val="Rimandonotaapidipagina"/>
        </w:rPr>
        <w:footnoteRef/>
      </w:r>
      <w:r>
        <w:t xml:space="preserve"> Ippoliti E., “Il lungo cammino verso l’individualità. Saggio di Edoardo Boncinelli sull’identità”, </w:t>
      </w:r>
      <w:r>
        <w:rPr>
          <w:i/>
          <w:iCs/>
        </w:rPr>
        <w:t>La Sicilia</w:t>
      </w:r>
      <w:r>
        <w:t xml:space="preserve">, Terza Pagina, 29 ottobre 2002. L’intervista rilasciata dal fisico-biologo Boncinelli presenta il suo ultimo saggio </w:t>
      </w:r>
      <w:r>
        <w:rPr>
          <w:i/>
          <w:iCs/>
        </w:rPr>
        <w:t>Io sono, tu sei: l’identità e la</w:t>
      </w:r>
      <w:r>
        <w:t xml:space="preserve"> </w:t>
      </w:r>
      <w:r>
        <w:rPr>
          <w:i/>
          <w:iCs/>
        </w:rPr>
        <w:t>differenza negli uomini e in natura</w:t>
      </w:r>
      <w:r>
        <w:t xml:space="preserve"> (Milano, Monadori, 2002) che immagino interessante e avvincente, ma che, alla data in cui sto scrivendo queste ultime pagine della Pre-</w:t>
      </w:r>
      <w:r>
        <w:rPr>
          <w:i/>
          <w:iCs/>
        </w:rPr>
        <w:t>fazione</w:t>
      </w:r>
      <w:r>
        <w:t>, non ho ancora avuto il pi</w:t>
      </w:r>
      <w:r>
        <w:t>a</w:t>
      </w:r>
      <w:r>
        <w:t>cere (che mi procurerò) di leggere.</w:t>
      </w:r>
    </w:p>
  </w:footnote>
  <w:footnote w:id="4">
    <w:p w:rsidR="00620EAB" w:rsidRDefault="00620EAB" w:rsidP="00620EAB">
      <w:pPr>
        <w:pStyle w:val="Testonotaapidipagina"/>
      </w:pPr>
      <w:r>
        <w:rPr>
          <w:rStyle w:val="Rimandonotaapidipagina"/>
        </w:rPr>
        <w:footnoteRef/>
      </w:r>
      <w:r>
        <w:t xml:space="preserve"> Oggi, dopo che il Progetto genoma ha permesso di decifrare l’intero patrimonio genetico dell’uomo, conosciamo tutti i 30 mila geni che, dall’interno delle singole cellule, stabiliscono e trasmettano i comandi per far funzionare il nostro organismo. Di conseguenza, invece di lim</w:t>
      </w:r>
      <w:r>
        <w:t>i</w:t>
      </w:r>
      <w:r>
        <w:t>tarci ad esaminare, come s’è fatto sinora il comportamento di un gene alla volta, è possibile studiarli tutti assieme, in modo da analizzare con tecnologie raffinate le reciproche interazioni. Per la prima volta si può vedere come nasce un tumore scoprendo sia il gene difettoso che lo innesca o determina, sia gli altri geni successivamente coinvolti nel processo de-gene-inter-a(t)tivo. Un “farmaco biologico” intelligente che elimina solo le cellule malate è il risultato di questa nuova strategia gene-terapeutica. Si è scoperto l’</w:t>
      </w:r>
      <w:r>
        <w:rPr>
          <w:i/>
          <w:iCs/>
        </w:rPr>
        <w:t>imatinib</w:t>
      </w:r>
      <w:r>
        <w:t>, molecola intelligente, selett</w:t>
      </w:r>
      <w:r>
        <w:t>i</w:t>
      </w:r>
      <w:r>
        <w:t xml:space="preserve">va, che colpisce solo le cellule tumorali, ottenendo la “remissione genetica”. Carlo Croce del </w:t>
      </w:r>
      <w:r>
        <w:rPr>
          <w:i/>
          <w:iCs/>
        </w:rPr>
        <w:t>Kimmel Cancer Center</w:t>
      </w:r>
      <w:r>
        <w:t xml:space="preserve"> di Philadelphia ha aperto una prospettiva nuova nel trattamento del t</w:t>
      </w:r>
      <w:r>
        <w:t>u</w:t>
      </w:r>
      <w:r>
        <w:t>more del pancreas e dei polmoni. In un gruppo di alcune decine di pazienti in fase avanzata s</w:t>
      </w:r>
      <w:r>
        <w:t>a</w:t>
      </w:r>
      <w:r>
        <w:t>ranno iniettate miliardi di particelle costruite in laboratorio che al loro interno nasconderanno l’</w:t>
      </w:r>
      <w:r>
        <w:rPr>
          <w:i/>
          <w:iCs/>
        </w:rPr>
        <w:t>adenofhit</w:t>
      </w:r>
      <w:r>
        <w:t xml:space="preserve">, un virus navetta al quale è stato accoppiato un gene soppressore del tumore. Il </w:t>
      </w:r>
      <w:r>
        <w:rPr>
          <w:i/>
          <w:iCs/>
        </w:rPr>
        <w:t>Fhit</w:t>
      </w:r>
      <w:r>
        <w:t xml:space="preserve"> è un gene molto grande indebolito da una zona fragile che diventa il bersaglio preferito dagli agenti cancerogeni dell’ambiente, come il fumo di sigaretta. Quando si spezza, smette di pr</w:t>
      </w:r>
      <w:r>
        <w:t>o</w:t>
      </w:r>
      <w:r>
        <w:t xml:space="preserve">durre una proteina protettrice. L’introduzione di questa molecola strategica capace di veicolare </w:t>
      </w:r>
      <w:r>
        <w:rPr>
          <w:i/>
          <w:iCs/>
        </w:rPr>
        <w:t>hardware</w:t>
      </w:r>
      <w:r>
        <w:t xml:space="preserve"> e </w:t>
      </w:r>
      <w:r>
        <w:rPr>
          <w:i/>
          <w:iCs/>
        </w:rPr>
        <w:t>software</w:t>
      </w:r>
      <w:r>
        <w:t xml:space="preserve"> terapeutici, fa regredire il tumore. Informazione, comunicazione, matrice interattiva funzional-strutturale, etc., sono gli elementi portanti di questa rivoluzionaria scope</w:t>
      </w:r>
      <w:r>
        <w:t>r</w:t>
      </w:r>
      <w:r>
        <w:t xml:space="preserve">ta. Non meno interessante è l’approccio analitico-terapeutico citogenetico dei cromosomi. Nei malati di leucemia acuta si tenta di definire i punti fragili, nevralgici e delicati, e identificare i geni che si trovano in queste zone, in questi </w:t>
      </w:r>
      <w:r>
        <w:rPr>
          <w:i/>
          <w:iCs/>
        </w:rPr>
        <w:t xml:space="preserve">breakpoint </w:t>
      </w:r>
      <w:r>
        <w:t>che non sono</w:t>
      </w:r>
      <w:r>
        <w:rPr>
          <w:i/>
          <w:iCs/>
        </w:rPr>
        <w:t xml:space="preserve"> </w:t>
      </w:r>
      <w:r>
        <w:t>altro che</w:t>
      </w:r>
      <w:r>
        <w:rPr>
          <w:i/>
          <w:iCs/>
        </w:rPr>
        <w:t xml:space="preserve"> </w:t>
      </w:r>
      <w:r>
        <w:t xml:space="preserve">punti di (s-)pareggio o (dis-)equilibrio. Cioè i “luoghi” di minima o massima capacità informativo-comunicativa. Ancora una volta non è difficile ricondurre questi sforzi analitico-terapeutici ai processi di tras-in (o de)-form-azione che costituiscono il cuore della mia nuova economia. </w:t>
      </w:r>
    </w:p>
  </w:footnote>
  <w:footnote w:id="5">
    <w:p w:rsidR="00620EAB" w:rsidRDefault="00620EAB" w:rsidP="00620EAB">
      <w:pPr>
        <w:pStyle w:val="Testonotaapidipagina"/>
      </w:pPr>
      <w:r>
        <w:rPr>
          <w:rStyle w:val="Rimandonotaapidipagina"/>
        </w:rPr>
        <w:footnoteRef/>
      </w:r>
      <w:r>
        <w:t xml:space="preserve"> Cfr. Rizzo F., “Economia. Economia della salvezza o salvezza dell’economia”, </w:t>
      </w:r>
      <w:r>
        <w:rPr>
          <w:i/>
          <w:iCs/>
        </w:rPr>
        <w:t>Laós</w:t>
      </w:r>
      <w:r>
        <w:t>, n. 2, 1999.</w:t>
      </w:r>
    </w:p>
  </w:footnote>
  <w:footnote w:id="6">
    <w:p w:rsidR="00620EAB" w:rsidRDefault="00620EAB" w:rsidP="00620EAB">
      <w:pPr>
        <w:pStyle w:val="Rientrocorpodeltesto2"/>
        <w:ind w:left="0"/>
        <w:rPr>
          <w:i w:val="0"/>
          <w:iCs/>
          <w:sz w:val="18"/>
        </w:rPr>
      </w:pPr>
      <w:r>
        <w:rPr>
          <w:rStyle w:val="Rimandonotaapidipagina"/>
          <w:sz w:val="18"/>
        </w:rPr>
        <w:footnoteRef/>
      </w:r>
      <w:r>
        <w:rPr>
          <w:sz w:val="18"/>
        </w:rPr>
        <w:t xml:space="preserve"> </w:t>
      </w:r>
      <w:r>
        <w:rPr>
          <w:i w:val="0"/>
          <w:iCs/>
          <w:sz w:val="18"/>
        </w:rPr>
        <w:t>Cfr.</w:t>
      </w:r>
      <w:r>
        <w:rPr>
          <w:sz w:val="18"/>
        </w:rPr>
        <w:t xml:space="preserve"> </w:t>
      </w:r>
      <w:r>
        <w:rPr>
          <w:i w:val="0"/>
          <w:iCs/>
          <w:sz w:val="18"/>
        </w:rPr>
        <w:t>Maturana H.,</w:t>
      </w:r>
      <w:r>
        <w:rPr>
          <w:sz w:val="18"/>
        </w:rPr>
        <w:t xml:space="preserve"> Autocoscienza e realtà</w:t>
      </w:r>
      <w:r>
        <w:rPr>
          <w:i w:val="0"/>
          <w:iCs/>
          <w:sz w:val="18"/>
        </w:rPr>
        <w:t>, Milano, Raffaello Cortina ed., 1993; Rizzo F.,</w:t>
      </w:r>
      <w:r>
        <w:rPr>
          <w:sz w:val="18"/>
        </w:rPr>
        <w:t xml:space="preserve"> V</w:t>
      </w:r>
      <w:r>
        <w:rPr>
          <w:sz w:val="18"/>
        </w:rPr>
        <w:t>a</w:t>
      </w:r>
      <w:r>
        <w:rPr>
          <w:sz w:val="18"/>
        </w:rPr>
        <w:t>lore e valutazioni, op. cit</w:t>
      </w:r>
      <w:r>
        <w:rPr>
          <w:i w:val="0"/>
          <w:iCs/>
          <w:sz w:val="18"/>
        </w:rPr>
        <w:t>., p. 127.</w:t>
      </w:r>
      <w:r>
        <w:rPr>
          <w:sz w:val="18"/>
        </w:rPr>
        <w:t xml:space="preserve"> </w:t>
      </w:r>
      <w:r>
        <w:rPr>
          <w:i w:val="0"/>
          <w:iCs/>
          <w:sz w:val="18"/>
        </w:rPr>
        <w:t>Estendendo questo ragionamento all’economia si può dire, paradossalmente, che l’istanza etica è generata dal linguaggio nel suo dominio cognitivo, cioè dal linguaggio monetario. In generale la conoscenza sta al conoscibile come, in particolare, la moneta sta al monetizzabile. Il grado di monetizzazione dei segni-valori o beni-moneta (da a</w:t>
      </w:r>
      <w:r>
        <w:rPr>
          <w:i w:val="0"/>
          <w:iCs/>
          <w:sz w:val="18"/>
        </w:rPr>
        <w:t>l</w:t>
      </w:r>
      <w:r>
        <w:rPr>
          <w:i w:val="0"/>
          <w:iCs/>
          <w:sz w:val="18"/>
        </w:rPr>
        <w:t xml:space="preserve">cuni denominati beni-consenso) è fondamentale per comprendere l’economia capitalistica e il rapporto che passa tra questa economia e l’etica. Esso inoltre mantiene la plasticità sociale dei sistemi economici. </w:t>
      </w:r>
      <w:r>
        <w:rPr>
          <w:sz w:val="18"/>
        </w:rPr>
        <w:t>Ibidem</w:t>
      </w:r>
      <w:r>
        <w:rPr>
          <w:i w:val="0"/>
          <w:iCs/>
          <w:sz w:val="18"/>
        </w:rPr>
        <w:t xml:space="preserve">. </w:t>
      </w:r>
    </w:p>
    <w:p w:rsidR="00620EAB" w:rsidRDefault="00620EAB" w:rsidP="00620EAB">
      <w:pPr>
        <w:pStyle w:val="Testonotaapidipagina"/>
      </w:pPr>
    </w:p>
  </w:footnote>
  <w:footnote w:id="7">
    <w:p w:rsidR="00620EAB" w:rsidRDefault="00620EAB" w:rsidP="00620EAB">
      <w:pPr>
        <w:pStyle w:val="Testonotaapidipagina"/>
      </w:pPr>
      <w:r>
        <w:rPr>
          <w:rStyle w:val="Rimandonotaapidipagina"/>
        </w:rPr>
        <w:footnoteRef/>
      </w:r>
      <w:r>
        <w:t xml:space="preserve"> Cfr. Boncinelli E., “La gloria sulle ali di un moscerino”, </w:t>
      </w:r>
      <w:r>
        <w:rPr>
          <w:i/>
          <w:iCs/>
        </w:rPr>
        <w:t>Corriere della Sera</w:t>
      </w:r>
      <w:r>
        <w:t>, 12 novembre 2002.</w:t>
      </w:r>
    </w:p>
  </w:footnote>
  <w:footnote w:id="8">
    <w:p w:rsidR="00620EAB" w:rsidRDefault="00620EAB" w:rsidP="00620EAB">
      <w:pPr>
        <w:pStyle w:val="Testonotaapidipagina"/>
      </w:pPr>
      <w:r>
        <w:rPr>
          <w:rStyle w:val="Rimandonotaapidipagina"/>
        </w:rPr>
        <w:footnoteRef/>
      </w:r>
      <w:r>
        <w:t xml:space="preserve"> Questa mattina, facendo esami ad Enna, ho ricordato a due allieve che ogni persona è unica. Ad entrambe ho suggerito di esserne tanto consapevoli da amarsi, trattarsi bene, avere fiducia e credere in sé stesse per aumentare il valore del loro essere, diventare più forti e capire che la vita è una cosa meravigliosa anche quando il dolore sembra fare ombra alla gioia. Ad una delle due ho disegnato e regalato un triangolo che ai vertici porta amore, libertà e valore e al centro lei stessa, al pari di qualunque altro uomo o donna. All’altra ho suggerito di cogliere una str</w:t>
      </w:r>
      <w:r>
        <w:t>a</w:t>
      </w:r>
      <w:r>
        <w:t>ordinaria analogia tra le parole della linguistica, i valori dell’economia e le note degli spartiti musicali. Lei è rimasta sorpresa e mi ha detto: «Come ha fatto a indovinare che a me piace la musica?». «Non lo sapevo affatto» ho risposto «ma guardandola mi sono convinto che lei s-velasse il segreto dell’armonia musicale ed ho tirato ad indovinare».</w:t>
      </w:r>
    </w:p>
  </w:footnote>
  <w:footnote w:id="9">
    <w:p w:rsidR="00620EAB" w:rsidRDefault="00620EAB" w:rsidP="00620EAB">
      <w:pPr>
        <w:pStyle w:val="Testonotaapidipagina"/>
      </w:pPr>
      <w:r>
        <w:rPr>
          <w:rStyle w:val="Rimandonotaapidipagina"/>
        </w:rPr>
        <w:footnoteRef/>
      </w:r>
      <w:r>
        <w:t xml:space="preserve"> </w:t>
      </w:r>
      <w:r>
        <w:rPr>
          <w:i/>
          <w:iCs/>
        </w:rPr>
        <w:t>Vangelo di san Matteo</w:t>
      </w:r>
      <w:r>
        <w:t xml:space="preserve"> 22, 37-39. Il secondo comandamento presuppone, quello che si verif</w:t>
      </w:r>
      <w:r>
        <w:t>i</w:t>
      </w:r>
      <w:r>
        <w:t>ca sempre di meno nella società moderna, l’amore per se stessi. Quando ciò non avviene perché siamo depressi, non ci stimiamo, non abbiamo fiducia in noi e non ci amiamo tanto, viene difficile amare gli altri o per lo meno li amiamo (poco) come noi stessi. Allora non bisogna mai d</w:t>
      </w:r>
      <w:r>
        <w:t>i</w:t>
      </w:r>
      <w:r>
        <w:t>menticare che siamo stai creati ad immagine e a somiglianza di Dio, siamo sue creature, fratelli di Cristo e figli del Padre. Come noi non c’è nessuno. Questo verso di una famosa canzone di Rita Pavone l’ho cantato qualche mese fa ad Enna ad un’allieva che aveva concluso l’esame di profitto con successo, dopo avere superato alcune difficoltà che avevano fatto vacillare la fid</w:t>
      </w:r>
      <w:r>
        <w:t>u</w:t>
      </w:r>
      <w:r>
        <w:t>cia in se stessa. Gli ostacoli che s’incontrano nell’età universitaria sono la metafora delle asp</w:t>
      </w:r>
      <w:r>
        <w:t>e</w:t>
      </w:r>
      <w:r>
        <w:t>rità della vita in generale, bisogna superarle cantandoci (o facendoci cantare): “Come me (te) non c’è nessuno, nei miei (tuoi) occhi profondi io (noi) ved(iam)o tanta tristezza” che si deve trasformare in gioia con la grazia del Padre e per potere amare molto l’altro che è in noi e gli altri che sono vicini o lontani a noi, dopo avere amato con tutto il nostro cuore, tutta la nostra anima e tutta la nostra mente Dio.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hyphenationZone w:val="283"/>
  <w:characterSpacingControl w:val="doNotCompress"/>
  <w:footnotePr>
    <w:footnote w:id="0"/>
    <w:footnote w:id="1"/>
  </w:footnotePr>
  <w:endnotePr>
    <w:endnote w:id="0"/>
    <w:endnote w:id="1"/>
  </w:endnotePr>
  <w:compat/>
  <w:rsids>
    <w:rsidRoot w:val="00620EAB"/>
    <w:rsid w:val="00620EAB"/>
    <w:rsid w:val="007161EF"/>
    <w:rsid w:val="00A752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61E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620EAB"/>
    <w:pPr>
      <w:spacing w:after="0" w:line="240" w:lineRule="auto"/>
      <w:jc w:val="both"/>
    </w:pPr>
    <w:rPr>
      <w:rFonts w:ascii="Times New Roman" w:eastAsia="Times New Roman" w:hAnsi="Times New Roman" w:cs="Times New Roman"/>
      <w:sz w:val="18"/>
      <w:szCs w:val="20"/>
      <w:lang w:eastAsia="it-IT"/>
    </w:rPr>
  </w:style>
  <w:style w:type="character" w:customStyle="1" w:styleId="TestonotaapidipaginaCarattere">
    <w:name w:val="Testo nota a piè di pagina Carattere"/>
    <w:basedOn w:val="Carpredefinitoparagrafo"/>
    <w:link w:val="Testonotaapidipagina"/>
    <w:semiHidden/>
    <w:rsid w:val="00620EAB"/>
    <w:rPr>
      <w:rFonts w:ascii="Times New Roman" w:eastAsia="Times New Roman" w:hAnsi="Times New Roman" w:cs="Times New Roman"/>
      <w:sz w:val="18"/>
      <w:szCs w:val="20"/>
      <w:lang w:eastAsia="it-IT"/>
    </w:rPr>
  </w:style>
  <w:style w:type="character" w:styleId="Rimandonotaapidipagina">
    <w:name w:val="footnote reference"/>
    <w:basedOn w:val="Carpredefinitoparagrafo"/>
    <w:semiHidden/>
    <w:rsid w:val="00620EAB"/>
    <w:rPr>
      <w:vertAlign w:val="superscript"/>
    </w:rPr>
  </w:style>
  <w:style w:type="paragraph" w:styleId="Rientrocorpodeltesto2">
    <w:name w:val="Body Text Indent 2"/>
    <w:basedOn w:val="Normale"/>
    <w:link w:val="Rientrocorpodeltesto2Carattere"/>
    <w:semiHidden/>
    <w:rsid w:val="00620EAB"/>
    <w:pPr>
      <w:widowControl w:val="0"/>
      <w:spacing w:after="0" w:line="240" w:lineRule="auto"/>
      <w:ind w:left="3900"/>
      <w:jc w:val="both"/>
    </w:pPr>
    <w:rPr>
      <w:rFonts w:ascii="Times New Roman" w:eastAsia="Times New Roman" w:hAnsi="Times New Roman" w:cs="Times New Roman"/>
      <w:i/>
      <w:szCs w:val="20"/>
      <w:lang w:eastAsia="it-IT"/>
    </w:rPr>
  </w:style>
  <w:style w:type="character" w:customStyle="1" w:styleId="Rientrocorpodeltesto2Carattere">
    <w:name w:val="Rientro corpo del testo 2 Carattere"/>
    <w:basedOn w:val="Carpredefinitoparagrafo"/>
    <w:link w:val="Rientrocorpodeltesto2"/>
    <w:semiHidden/>
    <w:rsid w:val="00620EAB"/>
    <w:rPr>
      <w:rFonts w:ascii="Times New Roman" w:eastAsia="Times New Roman" w:hAnsi="Times New Roman" w:cs="Times New Roman"/>
      <w:i/>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2225</Words>
  <Characters>12686</Characters>
  <Application>Microsoft Office Word</Application>
  <DocSecurity>0</DocSecurity>
  <Lines>105</Lines>
  <Paragraphs>29</Paragraphs>
  <ScaleCrop>false</ScaleCrop>
  <Company/>
  <LinksUpToDate>false</LinksUpToDate>
  <CharactersWithSpaces>14882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Rizzo</dc:creator>
  <cp:lastModifiedBy>Francesco Rizzo</cp:lastModifiedBy>
  <cp:revision>1</cp:revision>
  <dcterms:created xsi:type="dcterms:W3CDTF">2016-03-09T12:44:00Z</dcterms:created>
  <dcterms:modified xsi:type="dcterms:W3CDTF">2016-03-09T12:46:00Z</dcterms:modified>
</cp:coreProperties>
</file>