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With respect to nonhuman animal dances, in The Descent of Man and Selection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in</w:t>
      </w:r>
      <w:proofErr w:type="gramEnd"/>
      <w:r w:rsidRPr="009636B2">
        <w:rPr>
          <w:rFonts w:ascii="Times New Roman" w:hAnsi="Times New Roman" w:cs="Times New Roman"/>
        </w:rPr>
        <w:t xml:space="preserve"> Relation to Sex, Darwin describes the "Love-Antics and Dances" of male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birds</w:t>
      </w:r>
      <w:proofErr w:type="gramEnd"/>
      <w:r w:rsidRPr="009636B2">
        <w:rPr>
          <w:rFonts w:ascii="Times New Roman" w:hAnsi="Times New Roman" w:cs="Times New Roman"/>
        </w:rPr>
        <w:t xml:space="preserve">, and later, more generally, describes male "love-dances"—-all in the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context</w:t>
      </w:r>
      <w:proofErr w:type="gramEnd"/>
      <w:r w:rsidRPr="009636B2">
        <w:rPr>
          <w:rFonts w:ascii="Times New Roman" w:hAnsi="Times New Roman" w:cs="Times New Roman"/>
        </w:rPr>
        <w:t xml:space="preserve"> of male-male competition, or what Darwin describes in upward of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460 </w:t>
      </w:r>
      <w:proofErr w:type="spellStart"/>
      <w:r w:rsidRPr="009636B2">
        <w:rPr>
          <w:rFonts w:ascii="Times New Roman" w:hAnsi="Times New Roman" w:cs="Times New Roman"/>
        </w:rPr>
        <w:t>pages</w:t>
      </w:r>
      <w:proofErr w:type="gramStart"/>
      <w:r w:rsidRPr="009636B2">
        <w:rPr>
          <w:rFonts w:ascii="Times New Roman" w:hAnsi="Times New Roman" w:cs="Times New Roman"/>
        </w:rPr>
        <w:t>,starting</w:t>
      </w:r>
      <w:proofErr w:type="spellEnd"/>
      <w:proofErr w:type="gramEnd"/>
      <w:r w:rsidRPr="009636B2">
        <w:rPr>
          <w:rFonts w:ascii="Times New Roman" w:hAnsi="Times New Roman" w:cs="Times New Roman"/>
        </w:rPr>
        <w:t xml:space="preserve"> with mollusks and crustaceans and beetles and working his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way</w:t>
      </w:r>
      <w:proofErr w:type="gramEnd"/>
      <w:r w:rsidRPr="009636B2">
        <w:rPr>
          <w:rFonts w:ascii="Times New Roman" w:hAnsi="Times New Roman" w:cs="Times New Roman"/>
        </w:rPr>
        <w:t xml:space="preserve"> through fish, amphibians, reptiles, birds (four chapters), mammals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>(</w:t>
      </w:r>
      <w:proofErr w:type="gramStart"/>
      <w:r w:rsidRPr="009636B2">
        <w:rPr>
          <w:rFonts w:ascii="Times New Roman" w:hAnsi="Times New Roman" w:cs="Times New Roman"/>
        </w:rPr>
        <w:t>two</w:t>
      </w:r>
      <w:proofErr w:type="gramEnd"/>
      <w:r w:rsidRPr="009636B2">
        <w:rPr>
          <w:rFonts w:ascii="Times New Roman" w:hAnsi="Times New Roman" w:cs="Times New Roman"/>
        </w:rPr>
        <w:t xml:space="preserve"> chapters), then finally and specifically human mammals (two chapters),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as</w:t>
      </w:r>
      <w:proofErr w:type="gramEnd"/>
      <w:r w:rsidRPr="009636B2">
        <w:rPr>
          <w:rFonts w:ascii="Times New Roman" w:hAnsi="Times New Roman" w:cs="Times New Roman"/>
        </w:rPr>
        <w:t xml:space="preserve"> “the law of battle.”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Jane Goodall describes a movement sequence that is part of a male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chimpanzee's</w:t>
      </w:r>
      <w:proofErr w:type="gramEnd"/>
      <w:r w:rsidRPr="009636B2">
        <w:rPr>
          <w:rFonts w:ascii="Times New Roman" w:hAnsi="Times New Roman" w:cs="Times New Roman"/>
        </w:rPr>
        <w:t xml:space="preserve"> kinetic repertoire, a sequence that a male performs in conjunction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with</w:t>
      </w:r>
      <w:proofErr w:type="gramEnd"/>
      <w:r w:rsidRPr="009636B2">
        <w:rPr>
          <w:rFonts w:ascii="Times New Roman" w:hAnsi="Times New Roman" w:cs="Times New Roman"/>
        </w:rPr>
        <w:t xml:space="preserve"> his "sexual signalling behavior" or "courtship display." “The bipedal swagger,”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as</w:t>
      </w:r>
      <w:proofErr w:type="gramEnd"/>
      <w:r w:rsidRPr="009636B2">
        <w:rPr>
          <w:rFonts w:ascii="Times New Roman" w:hAnsi="Times New Roman" w:cs="Times New Roman"/>
        </w:rPr>
        <w:t xml:space="preserve"> she identifies the behavior or display, is typically an upright male sequence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of</w:t>
      </w:r>
      <w:proofErr w:type="gramEnd"/>
      <w:r w:rsidRPr="009636B2">
        <w:rPr>
          <w:rFonts w:ascii="Times New Roman" w:hAnsi="Times New Roman" w:cs="Times New Roman"/>
        </w:rPr>
        <w:t xml:space="preserve"> movements and occurs only rarely in females.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Primatologist C. R. Rogers amplifies Goodall’s description of a male’s bipedal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swagger</w:t>
      </w:r>
      <w:proofErr w:type="gramEnd"/>
      <w:r w:rsidRPr="009636B2">
        <w:rPr>
          <w:rFonts w:ascii="Times New Roman" w:hAnsi="Times New Roman" w:cs="Times New Roman"/>
        </w:rPr>
        <w:t xml:space="preserve"> in describing what he identifies as a male chimpanzee’s “short dance.”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>Female choice in relation to male-male competition is described by Darwin, particularly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in</w:t>
      </w:r>
      <w:proofErr w:type="gramEnd"/>
      <w:r w:rsidRPr="009636B2">
        <w:rPr>
          <w:rFonts w:ascii="Times New Roman" w:hAnsi="Times New Roman" w:cs="Times New Roman"/>
        </w:rPr>
        <w:t xml:space="preserve"> relation to birds, but also in suggestive ways with respect to mammals. More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recently</w:t>
      </w:r>
      <w:proofErr w:type="gramEnd"/>
      <w:r w:rsidRPr="009636B2">
        <w:rPr>
          <w:rFonts w:ascii="Times New Roman" w:hAnsi="Times New Roman" w:cs="Times New Roman"/>
        </w:rPr>
        <w:t>, the topic of female choice was taken up by William Eberhard. His hypothesis: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>“</w:t>
      </w:r>
      <w:proofErr w:type="gramStart"/>
      <w:r w:rsidRPr="009636B2">
        <w:rPr>
          <w:rFonts w:ascii="Times New Roman" w:hAnsi="Times New Roman" w:cs="Times New Roman"/>
        </w:rPr>
        <w:t>sexual</w:t>
      </w:r>
      <w:proofErr w:type="gramEnd"/>
      <w:r w:rsidRPr="009636B2">
        <w:rPr>
          <w:rFonts w:ascii="Times New Roman" w:hAnsi="Times New Roman" w:cs="Times New Roman"/>
        </w:rPr>
        <w:t xml:space="preserve"> selection by female choice, proposes that male genitalia function as ‘internal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courtship</w:t>
      </w:r>
      <w:proofErr w:type="gramEnd"/>
      <w:r w:rsidRPr="009636B2">
        <w:rPr>
          <w:rFonts w:ascii="Times New Roman" w:hAnsi="Times New Roman" w:cs="Times New Roman"/>
        </w:rPr>
        <w:t>’ devices” (Eberhard 1985).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636B2">
        <w:rPr>
          <w:rFonts w:ascii="Times New Roman" w:hAnsi="Times New Roman" w:cs="Times New Roman"/>
        </w:rPr>
        <w:t xml:space="preserve">Simply as an event of possible evolutionary interest and one that is both innovative and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provocative</w:t>
      </w:r>
      <w:proofErr w:type="gramEnd"/>
      <w:r w:rsidRPr="009636B2">
        <w:rPr>
          <w:rFonts w:ascii="Times New Roman" w:hAnsi="Times New Roman" w:cs="Times New Roman"/>
        </w:rPr>
        <w:t xml:space="preserve">, I attach a write up of “A Human Enclosure at Edinburgh Zoo”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Cultural differences exist not only in dance but in everyday life—-for example,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in</w:t>
      </w:r>
      <w:proofErr w:type="gramEnd"/>
      <w:r w:rsidRPr="009636B2">
        <w:rPr>
          <w:rFonts w:ascii="Times New Roman" w:hAnsi="Times New Roman" w:cs="Times New Roman"/>
        </w:rPr>
        <w:t xml:space="preserve"> everyday interpersonal spatial relationships. Cultural distinctions in these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relationships</w:t>
      </w:r>
      <w:proofErr w:type="gramEnd"/>
      <w:r w:rsidRPr="009636B2">
        <w:rPr>
          <w:rFonts w:ascii="Times New Roman" w:hAnsi="Times New Roman" w:cs="Times New Roman"/>
        </w:rPr>
        <w:t xml:space="preserve"> are commonly made in terms of whether one is in front of or behind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another</w:t>
      </w:r>
      <w:proofErr w:type="gramEnd"/>
      <w:r w:rsidRPr="009636B2">
        <w:rPr>
          <w:rFonts w:ascii="Times New Roman" w:hAnsi="Times New Roman" w:cs="Times New Roman"/>
        </w:rPr>
        <w:t xml:space="preserve">, whether one is above or below another; whether one is small or large in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relation</w:t>
      </w:r>
      <w:proofErr w:type="gramEnd"/>
      <w:r w:rsidRPr="009636B2">
        <w:rPr>
          <w:rFonts w:ascii="Times New Roman" w:hAnsi="Times New Roman" w:cs="Times New Roman"/>
        </w:rPr>
        <w:t xml:space="preserve"> to another, and so on. Anthropologist Raymond Firth, who studied Tikopia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culture</w:t>
      </w:r>
      <w:proofErr w:type="gramEnd"/>
      <w:r w:rsidRPr="009636B2">
        <w:rPr>
          <w:rFonts w:ascii="Times New Roman" w:hAnsi="Times New Roman" w:cs="Times New Roman"/>
        </w:rPr>
        <w:t>, wrote of the postural and gestural practices of Tikopians and then compared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their</w:t>
      </w:r>
      <w:proofErr w:type="gramEnd"/>
      <w:r w:rsidRPr="009636B2">
        <w:rPr>
          <w:rFonts w:ascii="Times New Roman" w:hAnsi="Times New Roman" w:cs="Times New Roman"/>
        </w:rPr>
        <w:t xml:space="preserve"> practices to those of his own experience in British culture.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In the process of doing so, Firth made interesting observations with respect to the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different</w:t>
      </w:r>
      <w:proofErr w:type="gramEnd"/>
      <w:r w:rsidRPr="009636B2">
        <w:rPr>
          <w:rFonts w:ascii="Times New Roman" w:hAnsi="Times New Roman" w:cs="Times New Roman"/>
        </w:rPr>
        <w:t xml:space="preserve"> practices. In The Roots of Power: Animate Form and Gendered Bodies, I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discussed</w:t>
      </w:r>
      <w:proofErr w:type="gramEnd"/>
      <w:r w:rsidRPr="009636B2">
        <w:rPr>
          <w:rFonts w:ascii="Times New Roman" w:hAnsi="Times New Roman" w:cs="Times New Roman"/>
        </w:rPr>
        <w:t xml:space="preserve"> Firth’s research and the research of others and gave an evolutionary genealogy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of</w:t>
      </w:r>
      <w:proofErr w:type="gramEnd"/>
      <w:r w:rsidRPr="009636B2">
        <w:rPr>
          <w:rFonts w:ascii="Times New Roman" w:hAnsi="Times New Roman" w:cs="Times New Roman"/>
        </w:rPr>
        <w:t xml:space="preserve"> diverse intercorporeal relationships.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As for Tango: I do not know what the “informational implications” of Tango might be,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but</w:t>
      </w:r>
      <w:proofErr w:type="gramEnd"/>
      <w:r w:rsidRPr="009636B2">
        <w:rPr>
          <w:rFonts w:ascii="Times New Roman" w:hAnsi="Times New Roman" w:cs="Times New Roman"/>
        </w:rPr>
        <w:t xml:space="preserve"> I might well ask Adriana </w:t>
      </w:r>
      <w:proofErr w:type="spellStart"/>
      <w:r w:rsidRPr="009636B2">
        <w:rPr>
          <w:rFonts w:ascii="Times New Roman" w:hAnsi="Times New Roman" w:cs="Times New Roman"/>
        </w:rPr>
        <w:t>Pegorer</w:t>
      </w:r>
      <w:proofErr w:type="spellEnd"/>
      <w:r w:rsidRPr="009636B2">
        <w:rPr>
          <w:rFonts w:ascii="Times New Roman" w:hAnsi="Times New Roman" w:cs="Times New Roman"/>
        </w:rPr>
        <w:t xml:space="preserve"> who teaches Tango-</w:t>
      </w:r>
      <w:proofErr w:type="spellStart"/>
      <w:r w:rsidRPr="009636B2">
        <w:rPr>
          <w:rFonts w:ascii="Times New Roman" w:hAnsi="Times New Roman" w:cs="Times New Roman"/>
        </w:rPr>
        <w:t>Argentino</w:t>
      </w:r>
      <w:proofErr w:type="spellEnd"/>
      <w:r w:rsidRPr="009636B2">
        <w:rPr>
          <w:rFonts w:ascii="Times New Roman" w:hAnsi="Times New Roman" w:cs="Times New Roman"/>
        </w:rPr>
        <w:t xml:space="preserve">-style, a style that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she</w:t>
      </w:r>
      <w:proofErr w:type="gramEnd"/>
      <w:r w:rsidRPr="009636B2">
        <w:rPr>
          <w:rFonts w:ascii="Times New Roman" w:hAnsi="Times New Roman" w:cs="Times New Roman"/>
        </w:rPr>
        <w:t xml:space="preserve"> says is different from ballroom Tango that requires swift head turning.  She has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taught</w:t>
      </w:r>
      <w:proofErr w:type="gramEnd"/>
      <w:r w:rsidRPr="009636B2">
        <w:rPr>
          <w:rFonts w:ascii="Times New Roman" w:hAnsi="Times New Roman" w:cs="Times New Roman"/>
        </w:rPr>
        <w:t xml:space="preserve"> Tango to visually impaired people for years and has also combined Tango with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Contact Improvisation, an internationally practiced form of dance that commonly involves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non-dancers</w:t>
      </w:r>
      <w:proofErr w:type="gramEnd"/>
      <w:r w:rsidRPr="009636B2">
        <w:rPr>
          <w:rFonts w:ascii="Times New Roman" w:hAnsi="Times New Roman" w:cs="Times New Roman"/>
        </w:rPr>
        <w:t xml:space="preserve"> as well as dancers. (Her work is mentioned in an extended endnote on cultural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differences</w:t>
      </w:r>
      <w:proofErr w:type="gramEnd"/>
      <w:r w:rsidRPr="009636B2">
        <w:rPr>
          <w:rFonts w:ascii="Times New Roman" w:hAnsi="Times New Roman" w:cs="Times New Roman"/>
        </w:rPr>
        <w:t xml:space="preserve"> in an article titled “On Movement and Mirror Neurons: A Challenging and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Choice Conversation” that was published in Phenomenology and the Cognitive Sciences.)</w:t>
      </w:r>
      <w:proofErr w:type="gramEnd"/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 xml:space="preserve">And thanks for your reminder regarding food, where it goes, and what it does, all of 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636B2">
        <w:rPr>
          <w:rFonts w:ascii="Times New Roman" w:hAnsi="Times New Roman" w:cs="Times New Roman"/>
        </w:rPr>
        <w:t>which</w:t>
      </w:r>
      <w:proofErr w:type="gramEnd"/>
      <w:r w:rsidRPr="009636B2">
        <w:rPr>
          <w:rFonts w:ascii="Times New Roman" w:hAnsi="Times New Roman" w:cs="Times New Roman"/>
        </w:rPr>
        <w:t xml:space="preserve"> recalled Richard </w:t>
      </w:r>
      <w:proofErr w:type="spellStart"/>
      <w:r w:rsidRPr="009636B2">
        <w:rPr>
          <w:rFonts w:ascii="Times New Roman" w:hAnsi="Times New Roman" w:cs="Times New Roman"/>
        </w:rPr>
        <w:t>Wrangham</w:t>
      </w:r>
      <w:proofErr w:type="spellEnd"/>
      <w:r w:rsidRPr="009636B2">
        <w:rPr>
          <w:rFonts w:ascii="Times New Roman" w:hAnsi="Times New Roman" w:cs="Times New Roman"/>
        </w:rPr>
        <w:t xml:space="preserve"> and Rachel </w:t>
      </w:r>
      <w:proofErr w:type="spellStart"/>
      <w:r w:rsidRPr="009636B2">
        <w:rPr>
          <w:rFonts w:ascii="Times New Roman" w:hAnsi="Times New Roman" w:cs="Times New Roman"/>
        </w:rPr>
        <w:t>Carmody’s</w:t>
      </w:r>
      <w:proofErr w:type="spellEnd"/>
      <w:r w:rsidRPr="009636B2">
        <w:rPr>
          <w:rFonts w:ascii="Times New Roman" w:hAnsi="Times New Roman" w:cs="Times New Roman"/>
        </w:rPr>
        <w:t xml:space="preserve"> thesis in Catching Fire.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>Cheers,</w:t>
      </w:r>
    </w:p>
    <w:p w:rsidR="0038303D" w:rsidRPr="009636B2" w:rsidRDefault="0038303D" w:rsidP="009636B2">
      <w:pPr>
        <w:spacing w:after="0" w:line="240" w:lineRule="auto"/>
        <w:rPr>
          <w:rFonts w:ascii="Times New Roman" w:hAnsi="Times New Roman" w:cs="Times New Roman"/>
        </w:rPr>
      </w:pPr>
      <w:r w:rsidRPr="009636B2">
        <w:rPr>
          <w:rFonts w:ascii="Times New Roman" w:hAnsi="Times New Roman" w:cs="Times New Roman"/>
        </w:rPr>
        <w:t>Maxine</w:t>
      </w:r>
    </w:p>
    <w:p w:rsidR="00261509" w:rsidRPr="009636B2" w:rsidRDefault="00261509" w:rsidP="009636B2">
      <w:pPr>
        <w:spacing w:after="0" w:line="240" w:lineRule="auto"/>
        <w:rPr>
          <w:rFonts w:ascii="Times New Roman" w:hAnsi="Times New Roman" w:cs="Times New Roman"/>
        </w:rPr>
      </w:pPr>
    </w:p>
    <w:sectPr w:rsidR="00261509" w:rsidRPr="0096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3D"/>
    <w:rsid w:val="00261509"/>
    <w:rsid w:val="0038303D"/>
    <w:rsid w:val="009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</dc:creator>
  <cp:lastModifiedBy>Maxine</cp:lastModifiedBy>
  <cp:revision>2</cp:revision>
  <dcterms:created xsi:type="dcterms:W3CDTF">2016-02-23T19:35:00Z</dcterms:created>
  <dcterms:modified xsi:type="dcterms:W3CDTF">2016-02-23T19:35:00Z</dcterms:modified>
</cp:coreProperties>
</file>