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DEE" w:rsidRPr="003376E5" w:rsidRDefault="00C22DEE" w:rsidP="003376E5">
      <w:pPr>
        <w:tabs>
          <w:tab w:val="left" w:pos="5220"/>
        </w:tabs>
        <w:spacing w:line="480" w:lineRule="auto"/>
        <w:ind w:right="59"/>
        <w:jc w:val="center"/>
        <w:rPr>
          <w:rFonts w:ascii="Times New Roman" w:hAnsi="Times New Roman"/>
          <w:b/>
        </w:rPr>
      </w:pPr>
      <w:r w:rsidRPr="003376E5">
        <w:rPr>
          <w:rFonts w:ascii="Times New Roman" w:hAnsi="Times New Roman"/>
          <w:b/>
        </w:rPr>
        <w:t>Phenomenology and Evolutionary Biology</w:t>
      </w:r>
    </w:p>
    <w:p w:rsidR="00C22DEE" w:rsidRDefault="00C22DEE" w:rsidP="003376E5">
      <w:pPr>
        <w:pStyle w:val="NoSpacing"/>
        <w:tabs>
          <w:tab w:val="left" w:pos="5220"/>
        </w:tabs>
        <w:ind w:right="-12"/>
        <w:jc w:val="both"/>
        <w:rPr>
          <w:rFonts w:ascii="Times New Roman" w:hAnsi="Times New Roman"/>
          <w:b/>
        </w:rPr>
      </w:pPr>
      <w:r w:rsidRPr="003376E5">
        <w:rPr>
          <w:rFonts w:ascii="Times New Roman" w:hAnsi="Times New Roman"/>
          <w:b/>
        </w:rPr>
        <w:t xml:space="preserve"> (1): Phenomenology</w:t>
      </w:r>
    </w:p>
    <w:p w:rsidR="00C22DEE" w:rsidRDefault="00C22DEE" w:rsidP="003376E5">
      <w:pPr>
        <w:pStyle w:val="NoSpacing"/>
        <w:tabs>
          <w:tab w:val="left" w:pos="5220"/>
        </w:tabs>
        <w:ind w:right="-12"/>
        <w:jc w:val="both"/>
        <w:rPr>
          <w:rFonts w:ascii="Times New Roman" w:hAnsi="Times New Roman"/>
        </w:rPr>
      </w:pPr>
    </w:p>
    <w:p w:rsidR="00C22DEE" w:rsidRDefault="00C22DEE" w:rsidP="003376E5">
      <w:pPr>
        <w:pStyle w:val="NoSpacing"/>
        <w:tabs>
          <w:tab w:val="left" w:pos="5220"/>
        </w:tabs>
        <w:ind w:right="-12"/>
        <w:jc w:val="both"/>
        <w:rPr>
          <w:rFonts w:ascii="Times New Roman" w:hAnsi="Times New Roman"/>
        </w:rPr>
      </w:pPr>
      <w:r w:rsidRPr="003376E5">
        <w:rPr>
          <w:rFonts w:ascii="Times New Roman" w:hAnsi="Times New Roman"/>
        </w:rPr>
        <w:t>As written in the Preface to the 2</w:t>
      </w:r>
      <w:r w:rsidRPr="003376E5">
        <w:rPr>
          <w:rFonts w:ascii="Times New Roman" w:hAnsi="Times New Roman"/>
          <w:vertAlign w:val="superscript"/>
        </w:rPr>
        <w:t>nd</w:t>
      </w:r>
      <w:r w:rsidRPr="003376E5">
        <w:rPr>
          <w:rFonts w:ascii="Times New Roman" w:hAnsi="Times New Roman"/>
        </w:rPr>
        <w:t xml:space="preserve"> edition (1979) of The Phenomenology of Dance, “Certainly words carry no patented meanings, but the term ‘phenomenology’ does seem stretched beyond its limits when it is used to denote either mere reportorial renderings of perceptive behaviors or actions, or </w:t>
      </w:r>
      <w:r w:rsidRPr="003376E5">
        <w:rPr>
          <w:rFonts w:ascii="Times New Roman" w:hAnsi="Times New Roman"/>
          <w:i/>
        </w:rPr>
        <w:t>any</w:t>
      </w:r>
      <w:r w:rsidRPr="003376E5">
        <w:rPr>
          <w:rFonts w:ascii="Times New Roman" w:hAnsi="Times New Roman"/>
        </w:rPr>
        <w:t xml:space="preserve"> descriptive rendering at all of perceptible behaviors or actions. At the least, ‘phenomenology’ should be recognized as a very specific mode of epistemological inquiry, a method of eidetic analysis invariably associated with the name Edmund Husserl, the founder of phenomenology; and at the most ‘phenomenology’ should be recognized as a philosophically-spawned terms, that is, a term having a rich philosophical history and significance.” </w:t>
      </w:r>
    </w:p>
    <w:p w:rsidR="00C22DEE" w:rsidRPr="003376E5" w:rsidRDefault="00C22DEE" w:rsidP="003376E5">
      <w:pPr>
        <w:pStyle w:val="NoSpacing"/>
        <w:tabs>
          <w:tab w:val="left" w:pos="5220"/>
        </w:tabs>
        <w:ind w:right="-12"/>
        <w:jc w:val="both"/>
        <w:rPr>
          <w:rFonts w:ascii="Times New Roman" w:hAnsi="Times New Roman"/>
        </w:rPr>
      </w:pPr>
    </w:p>
    <w:p w:rsidR="00C22DEE" w:rsidRDefault="00C22DEE" w:rsidP="003376E5">
      <w:pPr>
        <w:pStyle w:val="NoSpacing"/>
        <w:tabs>
          <w:tab w:val="left" w:pos="5220"/>
        </w:tabs>
        <w:ind w:right="-12"/>
        <w:jc w:val="both"/>
        <w:rPr>
          <w:rFonts w:ascii="Times New Roman" w:hAnsi="Times New Roman"/>
        </w:rPr>
      </w:pPr>
      <w:r w:rsidRPr="003376E5">
        <w:rPr>
          <w:rFonts w:ascii="Times New Roman" w:hAnsi="Times New Roman"/>
        </w:rPr>
        <w:t xml:space="preserve">A phenomenological analysis of movement given in The Phenomenology of Dance follows the rigorous methodology set forth by Husserl. The methodology is integral to understandings of phenomenology as well as to its practice. Husserl distinguished two modes of the methodology. One mode is termed “static,” the other is termed “genetic.” The aim in static phenomenology is to uncover the essential character of the phenomenon in question or under investigation. The aim in genetic phenomenology is to uncover the source and development of meanings and values we hold. </w:t>
      </w:r>
    </w:p>
    <w:p w:rsidR="00C22DEE" w:rsidRPr="003376E5" w:rsidRDefault="00C22DEE" w:rsidP="003376E5">
      <w:pPr>
        <w:pStyle w:val="NoSpacing"/>
        <w:tabs>
          <w:tab w:val="left" w:pos="5220"/>
        </w:tabs>
        <w:ind w:right="-12"/>
        <w:jc w:val="both"/>
        <w:rPr>
          <w:rFonts w:ascii="Times New Roman" w:hAnsi="Times New Roman"/>
        </w:rPr>
      </w:pPr>
    </w:p>
    <w:p w:rsidR="00C22DEE" w:rsidRDefault="00C22DEE" w:rsidP="003376E5">
      <w:pPr>
        <w:pStyle w:val="NoSpacing"/>
        <w:tabs>
          <w:tab w:val="left" w:pos="5220"/>
        </w:tabs>
        <w:ind w:right="-12"/>
        <w:jc w:val="both"/>
        <w:rPr>
          <w:rFonts w:ascii="Times New Roman" w:hAnsi="Times New Roman"/>
        </w:rPr>
      </w:pPr>
      <w:r w:rsidRPr="003376E5">
        <w:rPr>
          <w:rFonts w:ascii="Times New Roman" w:hAnsi="Times New Roman"/>
        </w:rPr>
        <w:t xml:space="preserve">The abbreviated phenomenological analysis of the origin of tool-making follows a genetic phenomenology. The first analysis elucidates the inherently dynamic character of movement, and in ways quite contrary to the idea that movement is a force in time and in space and quite contrary as well to the dictionary definition of movement as a “change of position.” The second analysis answers questions that paleoanthropologists, archaeologists, and anthropologists leave unanswered. The analyses present basic aspects of animation that anchor the relationship between phenomenology and the life sciences. In particular, the point of departure for both phenomenology and the life sciences is </w:t>
      </w:r>
      <w:r w:rsidRPr="003376E5">
        <w:rPr>
          <w:rFonts w:ascii="Times New Roman" w:hAnsi="Times New Roman"/>
          <w:i/>
        </w:rPr>
        <w:t>animate</w:t>
      </w:r>
      <w:r w:rsidRPr="003376E5">
        <w:rPr>
          <w:rFonts w:ascii="Times New Roman" w:hAnsi="Times New Roman"/>
        </w:rPr>
        <w:t xml:space="preserve"> being not just in the sense of </w:t>
      </w:r>
      <w:r w:rsidRPr="003376E5">
        <w:rPr>
          <w:rFonts w:ascii="Times New Roman" w:hAnsi="Times New Roman"/>
          <w:i/>
        </w:rPr>
        <w:t>living</w:t>
      </w:r>
      <w:r w:rsidRPr="003376E5">
        <w:rPr>
          <w:rFonts w:ascii="Times New Roman" w:hAnsi="Times New Roman"/>
        </w:rPr>
        <w:t xml:space="preserve"> creatures, but in the sense of </w:t>
      </w:r>
      <w:r w:rsidRPr="003376E5">
        <w:rPr>
          <w:rFonts w:ascii="Times New Roman" w:hAnsi="Times New Roman"/>
          <w:i/>
        </w:rPr>
        <w:t>moving</w:t>
      </w:r>
      <w:r w:rsidRPr="003376E5">
        <w:rPr>
          <w:rFonts w:ascii="Times New Roman" w:hAnsi="Times New Roman"/>
        </w:rPr>
        <w:t xml:space="preserve"> creatures, creatures who, in and through movement, are sustaining their lives, mating and reproducing, and so on. In short, movement is fundamental to animation, a decidedly significant entrée to understanding basic aspects anchoring a relationship between phenomenology and the life sciences. Following these analyses is a final section on the descriptive foundations of both phenomenology and evolutionary biology and on their common concern with origins. </w:t>
      </w:r>
    </w:p>
    <w:p w:rsidR="00C22DEE" w:rsidRPr="003376E5" w:rsidRDefault="00C22DEE" w:rsidP="003376E5">
      <w:pPr>
        <w:pStyle w:val="NoSpacing"/>
        <w:tabs>
          <w:tab w:val="left" w:pos="5220"/>
        </w:tabs>
        <w:ind w:right="-12"/>
        <w:jc w:val="both"/>
        <w:rPr>
          <w:rFonts w:ascii="Times New Roman" w:hAnsi="Times New Roman"/>
        </w:rPr>
      </w:pPr>
    </w:p>
    <w:p w:rsidR="00C22DEE" w:rsidRDefault="00C22DEE" w:rsidP="003376E5">
      <w:pPr>
        <w:pStyle w:val="NoSpacing"/>
        <w:tabs>
          <w:tab w:val="left" w:pos="5220"/>
        </w:tabs>
        <w:ind w:right="-12"/>
        <w:jc w:val="both"/>
        <w:rPr>
          <w:rFonts w:ascii="Times New Roman" w:hAnsi="Times New Roman"/>
          <w:b/>
        </w:rPr>
      </w:pPr>
      <w:r w:rsidRPr="003376E5">
        <w:rPr>
          <w:rFonts w:ascii="Times New Roman" w:hAnsi="Times New Roman"/>
          <w:b/>
        </w:rPr>
        <w:t>(2) Phenomenological Analysis of Movement</w:t>
      </w:r>
    </w:p>
    <w:p w:rsidR="00C22DEE" w:rsidRPr="003376E5" w:rsidRDefault="00C22DEE" w:rsidP="003376E5">
      <w:pPr>
        <w:pStyle w:val="NoSpacing"/>
        <w:tabs>
          <w:tab w:val="left" w:pos="5220"/>
        </w:tabs>
        <w:ind w:right="-12"/>
        <w:jc w:val="both"/>
        <w:rPr>
          <w:rFonts w:ascii="Times New Roman" w:hAnsi="Times New Roman"/>
          <w:b/>
        </w:rPr>
      </w:pPr>
    </w:p>
    <w:p w:rsidR="00C22DEE" w:rsidRDefault="00C22DEE" w:rsidP="003376E5">
      <w:pPr>
        <w:pStyle w:val="NoSpacing"/>
        <w:tabs>
          <w:tab w:val="left" w:pos="5220"/>
        </w:tabs>
        <w:ind w:right="-12"/>
        <w:jc w:val="both"/>
        <w:rPr>
          <w:rStyle w:val="start"/>
          <w:rFonts w:ascii="Times New Roman" w:hAnsi="Times New Roman" w:cs="Times New Roman"/>
          <w:spacing w:val="-2"/>
          <w:kern w:val="2"/>
          <w:sz w:val="22"/>
          <w:szCs w:val="22"/>
          <w:lang w:eastAsia="en-US"/>
        </w:rPr>
      </w:pPr>
      <w:r w:rsidRPr="003376E5">
        <w:rPr>
          <w:rFonts w:ascii="Times New Roman" w:hAnsi="Times New Roman"/>
        </w:rPr>
        <w:t>Movement is first of all experienced not quantitatively but qualitatively. Before assessing it in any way as a measurable force in time and in space, we experience movement as hesitant or rushed, turbulent or calm, attenuated or abrupt, weak or strong, jagged or smooth, expansive or contractive, and so on, and so on. What a phenomenological analysis of movement elucidates are the spatial, temporal, and energic qualities of movement. K</w:t>
      </w:r>
      <w:r w:rsidRPr="003376E5">
        <w:rPr>
          <w:rStyle w:val="start"/>
          <w:rFonts w:ascii="Times New Roman" w:hAnsi="Times New Roman" w:cs="Times New Roman"/>
          <w:spacing w:val="-2"/>
          <w:kern w:val="2"/>
          <w:sz w:val="22"/>
          <w:szCs w:val="22"/>
          <w:lang w:eastAsia="en-US"/>
        </w:rPr>
        <w:t xml:space="preserve">inetic free variations, free variations being an integral step in an eidetic analysis, disclose four primary qualities of movement. These qualitative aspects of movement are separable only reflectively, that is, analytically, after the fact; experientially, they are all of a piece in the global, qualitatively dynamic phenomenon of movement. </w:t>
      </w:r>
    </w:p>
    <w:p w:rsidR="00C22DEE" w:rsidRPr="003376E5" w:rsidRDefault="00C22DEE" w:rsidP="003376E5">
      <w:pPr>
        <w:pStyle w:val="NoSpacing"/>
        <w:tabs>
          <w:tab w:val="left" w:pos="5220"/>
        </w:tabs>
        <w:ind w:right="-12"/>
        <w:jc w:val="both"/>
        <w:rPr>
          <w:rStyle w:val="start"/>
          <w:rFonts w:ascii="Times New Roman" w:hAnsi="Times New Roman" w:cs="Times New Roman"/>
          <w:spacing w:val="-2"/>
          <w:kern w:val="2"/>
          <w:sz w:val="22"/>
          <w:szCs w:val="22"/>
          <w:lang w:eastAsia="en-US"/>
        </w:rPr>
      </w:pPr>
    </w:p>
    <w:p w:rsidR="00C22DEE" w:rsidRPr="003376E5" w:rsidRDefault="00C22DEE" w:rsidP="003376E5">
      <w:pPr>
        <w:pStyle w:val="NoSpacing"/>
        <w:tabs>
          <w:tab w:val="left" w:pos="5220"/>
        </w:tabs>
        <w:ind w:right="-12"/>
        <w:jc w:val="both"/>
        <w:rPr>
          <w:rStyle w:val="start"/>
          <w:rFonts w:ascii="Times New Roman" w:hAnsi="Times New Roman" w:cs="Times New Roman"/>
          <w:spacing w:val="-2"/>
          <w:kern w:val="2"/>
          <w:sz w:val="22"/>
          <w:szCs w:val="22"/>
          <w:lang w:eastAsia="en-US"/>
        </w:rPr>
      </w:pPr>
      <w:r w:rsidRPr="003376E5">
        <w:rPr>
          <w:rStyle w:val="start"/>
          <w:rFonts w:ascii="Times New Roman" w:hAnsi="Times New Roman" w:cs="Times New Roman"/>
          <w:spacing w:val="-2"/>
          <w:kern w:val="2"/>
          <w:sz w:val="22"/>
          <w:szCs w:val="22"/>
          <w:lang w:eastAsia="en-US"/>
        </w:rPr>
        <w:t>Any movement has a tensional quality, linear quality, areal quality, and projectional quality. Tensional quality has to do with ef</w:t>
      </w:r>
      <w:r w:rsidRPr="003376E5">
        <w:rPr>
          <w:rStyle w:val="start"/>
          <w:rFonts w:ascii="Times New Roman" w:hAnsi="Times New Roman" w:cs="Times New Roman"/>
          <w:spacing w:val="-1"/>
          <w:kern w:val="2"/>
          <w:sz w:val="22"/>
          <w:szCs w:val="22"/>
          <w:lang w:eastAsia="en-US"/>
        </w:rPr>
        <w:t>f</w:t>
      </w:r>
      <w:r w:rsidRPr="003376E5">
        <w:rPr>
          <w:rStyle w:val="start"/>
          <w:rFonts w:ascii="Times New Roman" w:hAnsi="Times New Roman" w:cs="Times New Roman"/>
          <w:spacing w:val="-2"/>
          <w:kern w:val="2"/>
          <w:sz w:val="22"/>
          <w:szCs w:val="22"/>
          <w:lang w:eastAsia="en-US"/>
        </w:rPr>
        <w:t>ort; linear quality with both the linear contour of a moving body and the linear path described in the process of moving; areal quality with both the expansiveness or contractiveness of a moving body and the spatial extensiveness or constrictedness of the movement;  projectional quality with the way in which force is released. Linear and areal qualities describe spatial aspects of movement; tensional and projectional qualities describe temporal aspects of movement—for example, what we recognize as the felt intensity of our moving bodily energies and the felt manner in which we project those bodily energies: in a sustained manner, for instance, in an explosive manner, in a punctuated manner, in a ballistic manner, and so on. Temporal aspects of movement thus derive from the manner in which any particular intensity (or combined intensi</w:t>
      </w:r>
      <w:r w:rsidRPr="003376E5">
        <w:rPr>
          <w:rStyle w:val="start"/>
          <w:rFonts w:ascii="Times New Roman" w:hAnsi="Times New Roman" w:cs="Times New Roman"/>
          <w:spacing w:val="-2"/>
          <w:kern w:val="2"/>
          <w:sz w:val="22"/>
          <w:szCs w:val="22"/>
          <w:lang w:eastAsia="en-US"/>
        </w:rPr>
        <w:softHyphen/>
        <w:t>ties) is kinetically projected.</w:t>
      </w:r>
    </w:p>
    <w:p w:rsidR="00C22DEE" w:rsidRPr="003376E5" w:rsidRDefault="00C22DEE" w:rsidP="003376E5">
      <w:pPr>
        <w:pStyle w:val="NoSpacing"/>
        <w:tabs>
          <w:tab w:val="left" w:pos="5220"/>
        </w:tabs>
        <w:ind w:right="-12"/>
        <w:jc w:val="both"/>
        <w:rPr>
          <w:rStyle w:val="start"/>
          <w:rFonts w:ascii="Times New Roman" w:hAnsi="Times New Roman" w:cs="Times New Roman"/>
          <w:spacing w:val="-2"/>
          <w:kern w:val="2"/>
          <w:sz w:val="22"/>
          <w:szCs w:val="22"/>
          <w:lang w:eastAsia="en-US"/>
        </w:rPr>
      </w:pPr>
    </w:p>
    <w:p w:rsidR="00C22DEE" w:rsidRPr="003376E5" w:rsidRDefault="00C22DEE" w:rsidP="003376E5">
      <w:pPr>
        <w:pStyle w:val="NoSpacing"/>
        <w:tabs>
          <w:tab w:val="left" w:pos="5220"/>
        </w:tabs>
        <w:ind w:right="-12"/>
        <w:jc w:val="both"/>
        <w:rPr>
          <w:rStyle w:val="start"/>
          <w:rFonts w:ascii="Times New Roman" w:hAnsi="Times New Roman" w:cs="Times New Roman"/>
          <w:spacing w:val="-2"/>
          <w:kern w:val="2"/>
          <w:sz w:val="22"/>
          <w:szCs w:val="22"/>
          <w:lang w:eastAsia="en-US"/>
        </w:rPr>
      </w:pPr>
      <w:r w:rsidRPr="003376E5">
        <w:rPr>
          <w:rStyle w:val="start"/>
          <w:rFonts w:ascii="Times New Roman" w:hAnsi="Times New Roman" w:cs="Times New Roman"/>
          <w:spacing w:val="-2"/>
          <w:kern w:val="2"/>
          <w:sz w:val="22"/>
          <w:szCs w:val="22"/>
          <w:lang w:eastAsia="en-US"/>
        </w:rPr>
        <w:t xml:space="preserve">Movement </w:t>
      </w:r>
      <w:r w:rsidRPr="003376E5">
        <w:rPr>
          <w:rStyle w:val="start"/>
          <w:rFonts w:ascii="Times New Roman" w:hAnsi="Times New Roman" w:cs="Times New Roman"/>
          <w:i/>
          <w:iCs/>
          <w:spacing w:val="-2"/>
          <w:kern w:val="2"/>
          <w:sz w:val="22"/>
          <w:szCs w:val="22"/>
          <w:lang w:eastAsia="en-US"/>
        </w:rPr>
        <w:t>creates</w:t>
      </w:r>
      <w:r w:rsidRPr="003376E5">
        <w:rPr>
          <w:rStyle w:val="start"/>
          <w:rFonts w:ascii="Times New Roman" w:hAnsi="Times New Roman" w:cs="Times New Roman"/>
          <w:spacing w:val="-2"/>
          <w:kern w:val="2"/>
          <w:sz w:val="22"/>
          <w:szCs w:val="22"/>
          <w:lang w:eastAsia="en-US"/>
        </w:rPr>
        <w:t xml:space="preserve"> the qualities that it embodies and that we experience. It is thus erroneous to think that movement simply takes place </w:t>
      </w:r>
      <w:r w:rsidRPr="003376E5">
        <w:rPr>
          <w:rStyle w:val="start"/>
          <w:rFonts w:ascii="Times New Roman" w:hAnsi="Times New Roman" w:cs="Times New Roman"/>
          <w:i/>
          <w:iCs/>
          <w:spacing w:val="-2"/>
          <w:kern w:val="2"/>
          <w:sz w:val="22"/>
          <w:szCs w:val="22"/>
          <w:lang w:eastAsia="en-US"/>
        </w:rPr>
        <w:t>in</w:t>
      </w:r>
      <w:r w:rsidRPr="003376E5">
        <w:rPr>
          <w:rStyle w:val="start"/>
          <w:rFonts w:ascii="Times New Roman" w:hAnsi="Times New Roman" w:cs="Times New Roman"/>
          <w:spacing w:val="-2"/>
          <w:kern w:val="2"/>
          <w:sz w:val="22"/>
          <w:szCs w:val="22"/>
          <w:lang w:eastAsia="en-US"/>
        </w:rPr>
        <w:t xml:space="preserve"> space and </w:t>
      </w:r>
      <w:r w:rsidRPr="003376E5">
        <w:rPr>
          <w:rStyle w:val="start"/>
          <w:rFonts w:ascii="Times New Roman" w:hAnsi="Times New Roman" w:cs="Times New Roman"/>
          <w:i/>
          <w:spacing w:val="-2"/>
          <w:kern w:val="2"/>
          <w:sz w:val="22"/>
          <w:szCs w:val="22"/>
          <w:lang w:eastAsia="en-US"/>
        </w:rPr>
        <w:t>in</w:t>
      </w:r>
      <w:r w:rsidRPr="003376E5">
        <w:rPr>
          <w:rStyle w:val="start"/>
          <w:rFonts w:ascii="Times New Roman" w:hAnsi="Times New Roman" w:cs="Times New Roman"/>
          <w:spacing w:val="-2"/>
          <w:kern w:val="2"/>
          <w:sz w:val="22"/>
          <w:szCs w:val="22"/>
          <w:lang w:eastAsia="en-US"/>
        </w:rPr>
        <w:t xml:space="preserve"> time. On the contrary, we formally create a kinetic space and time in the process of moving. For example, p</w:t>
      </w:r>
      <w:r w:rsidRPr="003376E5">
        <w:rPr>
          <w:rStyle w:val="start"/>
          <w:rFonts w:ascii="Times New Roman" w:hAnsi="Times New Roman" w:cs="Times New Roman"/>
          <w:vanish/>
          <w:spacing w:val="-2"/>
          <w:kern w:val="2"/>
          <w:sz w:val="22"/>
          <w:szCs w:val="22"/>
          <w:lang w:eastAsia="en-US"/>
        </w:rPr>
        <w:t>break</w:t>
      </w:r>
      <w:r w:rsidRPr="003376E5">
        <w:rPr>
          <w:rStyle w:val="start"/>
          <w:rFonts w:ascii="Times New Roman" w:hAnsi="Times New Roman" w:cs="Times New Roman"/>
          <w:spacing w:val="-2"/>
          <w:kern w:val="2"/>
          <w:sz w:val="22"/>
          <w:szCs w:val="22"/>
          <w:lang w:eastAsia="en-US"/>
        </w:rPr>
        <w:t xml:space="preserve">articular spatial designs and patterns come into play with self-movement. The predominant shifting linear designs of our moving bodies may be now curved (as when we bend over), now twisted (as when we turn our heads), now diagonal (as when we lean forward), now vertical (as when we walk), and so on; the predominant linear patterns we create in moving may be now zig-zag (as in a game of tag), now straight (as in marching), now circular (as when we walk around an object or literally `go in circles'), and so on. The linear contours and linear paths we create in moving are basically </w:t>
      </w:r>
      <w:r w:rsidRPr="003376E5">
        <w:rPr>
          <w:rStyle w:val="start"/>
          <w:rFonts w:ascii="Times New Roman" w:hAnsi="Times New Roman" w:cs="Times New Roman"/>
          <w:i/>
          <w:iCs/>
          <w:spacing w:val="-2"/>
          <w:kern w:val="2"/>
          <w:sz w:val="22"/>
          <w:szCs w:val="22"/>
          <w:lang w:eastAsia="en-US"/>
        </w:rPr>
        <w:t>directional</w:t>
      </w:r>
      <w:r w:rsidRPr="003376E5">
        <w:rPr>
          <w:rStyle w:val="start"/>
          <w:rFonts w:ascii="Times New Roman" w:hAnsi="Times New Roman" w:cs="Times New Roman"/>
          <w:spacing w:val="-2"/>
          <w:kern w:val="2"/>
          <w:sz w:val="22"/>
          <w:szCs w:val="22"/>
          <w:lang w:eastAsia="en-US"/>
        </w:rPr>
        <w:t xml:space="preserve"> aspects of our body and our move</w:t>
      </w:r>
      <w:r w:rsidRPr="003376E5">
        <w:rPr>
          <w:rStyle w:val="start"/>
          <w:rFonts w:ascii="Times New Roman" w:hAnsi="Times New Roman" w:cs="Times New Roman"/>
          <w:spacing w:val="-2"/>
          <w:kern w:val="2"/>
          <w:sz w:val="22"/>
          <w:szCs w:val="22"/>
          <w:lang w:eastAsia="en-US"/>
        </w:rPr>
        <w:softHyphen/>
        <w:t xml:space="preserve">ment; the areal designs and patterns are basically </w:t>
      </w:r>
      <w:r w:rsidRPr="003376E5">
        <w:rPr>
          <w:rStyle w:val="start"/>
          <w:rFonts w:ascii="Times New Roman" w:hAnsi="Times New Roman" w:cs="Times New Roman"/>
          <w:i/>
          <w:iCs/>
          <w:spacing w:val="-2"/>
          <w:kern w:val="2"/>
          <w:sz w:val="22"/>
          <w:szCs w:val="22"/>
          <w:lang w:eastAsia="en-US"/>
        </w:rPr>
        <w:t>magnitudinous</w:t>
      </w:r>
      <w:r w:rsidRPr="003376E5">
        <w:rPr>
          <w:rStyle w:val="start"/>
          <w:rFonts w:ascii="Times New Roman" w:hAnsi="Times New Roman" w:cs="Times New Roman"/>
          <w:spacing w:val="-2"/>
          <w:kern w:val="2"/>
          <w:sz w:val="22"/>
          <w:szCs w:val="22"/>
          <w:lang w:eastAsia="en-US"/>
        </w:rPr>
        <w:t xml:space="preserve"> aspects. With respect to the latter, both our bodies and our movement create a certain spatial expanse and thus have a certain scope or span. For example, when we sit down, we contract ourselves into a progressively smaller shape; in contrast we expand ourselves to the fullest when reaching for something that is almost out of reach. Similarly, when we run, our movement creates an extensive space in contrast to the tight and constricted space it creates when we pace up and down.</w:t>
      </w:r>
    </w:p>
    <w:p w:rsidR="00C22DEE" w:rsidRPr="003376E5" w:rsidRDefault="00C22DEE" w:rsidP="003376E5">
      <w:pPr>
        <w:pStyle w:val="NoSpacing"/>
        <w:tabs>
          <w:tab w:val="left" w:pos="5220"/>
        </w:tabs>
        <w:ind w:right="-12"/>
        <w:jc w:val="both"/>
        <w:rPr>
          <w:rStyle w:val="start"/>
          <w:rFonts w:ascii="Times New Roman" w:hAnsi="Times New Roman" w:cs="Times New Roman"/>
          <w:spacing w:val="-2"/>
          <w:kern w:val="2"/>
          <w:sz w:val="22"/>
          <w:szCs w:val="22"/>
          <w:lang w:eastAsia="en-US"/>
        </w:rPr>
      </w:pPr>
    </w:p>
    <w:p w:rsidR="00C22DEE" w:rsidRDefault="00C22DEE" w:rsidP="003376E5">
      <w:pPr>
        <w:pStyle w:val="NoSpacing"/>
        <w:tabs>
          <w:tab w:val="left" w:pos="5220"/>
        </w:tabs>
        <w:ind w:right="-12"/>
        <w:jc w:val="both"/>
        <w:rPr>
          <w:rStyle w:val="start"/>
          <w:rFonts w:ascii="Times New Roman" w:hAnsi="Times New Roman" w:cs="Times New Roman"/>
          <w:spacing w:val="-2"/>
          <w:kern w:val="2"/>
          <w:sz w:val="22"/>
          <w:szCs w:val="22"/>
          <w:lang w:eastAsia="en-US"/>
        </w:rPr>
      </w:pPr>
      <w:r w:rsidRPr="003376E5">
        <w:rPr>
          <w:rStyle w:val="start"/>
          <w:rFonts w:ascii="Times New Roman" w:hAnsi="Times New Roman" w:cs="Times New Roman"/>
          <w:spacing w:val="-2"/>
          <w:kern w:val="2"/>
          <w:sz w:val="22"/>
          <w:szCs w:val="22"/>
          <w:lang w:eastAsia="en-US"/>
        </w:rPr>
        <w:t>We can notice these spatial and other created qualitative aspects of move</w:t>
      </w:r>
      <w:r w:rsidRPr="003376E5">
        <w:rPr>
          <w:rStyle w:val="start"/>
          <w:rFonts w:ascii="Times New Roman" w:hAnsi="Times New Roman" w:cs="Times New Roman"/>
          <w:spacing w:val="-2"/>
          <w:kern w:val="2"/>
          <w:sz w:val="22"/>
          <w:szCs w:val="22"/>
          <w:lang w:eastAsia="en-US"/>
        </w:rPr>
        <w:softHyphen/>
        <w:t>ment quite apart from purposefully changing what is kinetically habitual for us, that is, quite apart from purposefully “making the familiar strange,” the latter phrase being a short-hand way of referring to a phenomenological methodology. Unexpected moments in everyday experience present opportunities for noticing created aspects of movement, as when we pick up a suitcase far lighter than anticipated. Such an experience — which, from a phenomenological perspective, might be described as “inadvertently making the familiar strange” — highlights in particular the created tensional quality of movement: we prepare ourselves in anticipation of moving in a certain encumbered way and are thrown o</w:t>
      </w:r>
      <w:r w:rsidRPr="003376E5">
        <w:rPr>
          <w:rStyle w:val="start"/>
          <w:rFonts w:ascii="Times New Roman" w:hAnsi="Times New Roman" w:cs="Times New Roman"/>
          <w:spacing w:val="-1"/>
          <w:kern w:val="2"/>
          <w:sz w:val="22"/>
          <w:szCs w:val="22"/>
          <w:lang w:eastAsia="en-US"/>
        </w:rPr>
        <w:t>ff</w:t>
      </w:r>
      <w:r w:rsidRPr="003376E5">
        <w:rPr>
          <w:rStyle w:val="start"/>
          <w:rFonts w:ascii="Times New Roman" w:hAnsi="Times New Roman" w:cs="Times New Roman"/>
          <w:spacing w:val="-2"/>
          <w:kern w:val="2"/>
          <w:sz w:val="22"/>
          <w:szCs w:val="22"/>
          <w:lang w:eastAsia="en-US"/>
        </w:rPr>
        <w:t xml:space="preserve"> guard by the surprising ease we find in lifting and carrying. We thereby become aware of the kinetic energy that drives our movement. What usually passes unnoticed comes to the fore. In turn, we slacken our tension and generate less energy. But in turn too, we subsequently move more fluidly and create a di</w:t>
      </w:r>
      <w:r w:rsidRPr="003376E5">
        <w:rPr>
          <w:rStyle w:val="start"/>
          <w:rFonts w:ascii="Times New Roman" w:hAnsi="Times New Roman" w:cs="Times New Roman"/>
          <w:spacing w:val="-1"/>
          <w:kern w:val="2"/>
          <w:sz w:val="22"/>
          <w:szCs w:val="22"/>
          <w:lang w:eastAsia="en-US"/>
        </w:rPr>
        <w:t>ff</w:t>
      </w:r>
      <w:r w:rsidRPr="003376E5">
        <w:rPr>
          <w:rStyle w:val="start"/>
          <w:rFonts w:ascii="Times New Roman" w:hAnsi="Times New Roman" w:cs="Times New Roman"/>
          <w:spacing w:val="-2"/>
          <w:kern w:val="2"/>
          <w:sz w:val="22"/>
          <w:szCs w:val="22"/>
          <w:lang w:eastAsia="en-US"/>
        </w:rPr>
        <w:t>erent kinetic temporality in the process. We move not with a perhaps lumbering and even jerky cadence as anticipated, but with a cadence that is rhythmically unbroken. In such instances the temporality of our movement — the temporality of the kinetic energy we create in virtue of the tensional and projectional qualities of movement — is qualitative</w:t>
      </w:r>
      <w:r w:rsidRPr="003376E5">
        <w:rPr>
          <w:rStyle w:val="start"/>
          <w:rFonts w:ascii="Times New Roman" w:hAnsi="Times New Roman" w:cs="Times New Roman"/>
          <w:spacing w:val="-2"/>
          <w:kern w:val="2"/>
          <w:sz w:val="22"/>
          <w:szCs w:val="22"/>
          <w:lang w:eastAsia="en-US"/>
        </w:rPr>
        <w:softHyphen/>
        <w:t>ly di</w:t>
      </w:r>
      <w:r w:rsidRPr="003376E5">
        <w:rPr>
          <w:rStyle w:val="start"/>
          <w:rFonts w:ascii="Times New Roman" w:hAnsi="Times New Roman" w:cs="Times New Roman"/>
          <w:spacing w:val="-1"/>
          <w:kern w:val="2"/>
          <w:sz w:val="22"/>
          <w:szCs w:val="22"/>
          <w:lang w:eastAsia="en-US"/>
        </w:rPr>
        <w:t>ff</w:t>
      </w:r>
      <w:r w:rsidRPr="003376E5">
        <w:rPr>
          <w:rStyle w:val="start"/>
          <w:rFonts w:ascii="Times New Roman" w:hAnsi="Times New Roman" w:cs="Times New Roman"/>
          <w:spacing w:val="-2"/>
          <w:kern w:val="2"/>
          <w:sz w:val="22"/>
          <w:szCs w:val="22"/>
          <w:lang w:eastAsia="en-US"/>
        </w:rPr>
        <w:t xml:space="preserve">erent </w:t>
      </w:r>
      <w:r w:rsidRPr="003376E5">
        <w:rPr>
          <w:rStyle w:val="start"/>
          <w:rFonts w:ascii="Times New Roman" w:hAnsi="Times New Roman" w:cs="Times New Roman"/>
          <w:vanish/>
          <w:spacing w:val="-2"/>
          <w:kern w:val="2"/>
          <w:sz w:val="22"/>
          <w:szCs w:val="22"/>
          <w:lang w:eastAsia="en-US"/>
        </w:rPr>
        <w:t>break</w:t>
      </w:r>
      <w:r w:rsidRPr="003376E5">
        <w:rPr>
          <w:rStyle w:val="start"/>
          <w:rFonts w:ascii="Times New Roman" w:hAnsi="Times New Roman" w:cs="Times New Roman"/>
          <w:spacing w:val="-2"/>
          <w:kern w:val="2"/>
          <w:sz w:val="22"/>
          <w:szCs w:val="22"/>
          <w:lang w:eastAsia="en-US"/>
        </w:rPr>
        <w:t>from what it would have been had we actually encountered the weight we expected.</w:t>
      </w:r>
    </w:p>
    <w:p w:rsidR="00C22DEE" w:rsidRPr="003376E5" w:rsidRDefault="00C22DEE" w:rsidP="003376E5">
      <w:pPr>
        <w:pStyle w:val="NoSpacing"/>
        <w:tabs>
          <w:tab w:val="left" w:pos="5220"/>
        </w:tabs>
        <w:ind w:right="-12"/>
        <w:jc w:val="both"/>
        <w:rPr>
          <w:rStyle w:val="start"/>
          <w:rFonts w:ascii="Times New Roman" w:hAnsi="Times New Roman" w:cs="Times New Roman"/>
          <w:spacing w:val="-2"/>
          <w:kern w:val="2"/>
          <w:sz w:val="22"/>
          <w:szCs w:val="22"/>
          <w:lang w:eastAsia="en-US"/>
        </w:rPr>
      </w:pPr>
    </w:p>
    <w:p w:rsidR="00C22DEE" w:rsidRPr="003376E5" w:rsidRDefault="00C22DEE" w:rsidP="003376E5">
      <w:pPr>
        <w:pStyle w:val="NoSpacing"/>
        <w:tabs>
          <w:tab w:val="left" w:pos="5220"/>
        </w:tabs>
        <w:ind w:right="-12"/>
        <w:jc w:val="both"/>
        <w:rPr>
          <w:rFonts w:ascii="Times New Roman" w:hAnsi="Times New Roman"/>
          <w:b/>
        </w:rPr>
      </w:pPr>
      <w:r w:rsidRPr="003376E5">
        <w:rPr>
          <w:rFonts w:ascii="Times New Roman" w:hAnsi="Times New Roman"/>
          <w:b/>
        </w:rPr>
        <w:t>(3) Phenomenology and Conceptual Origins: An Evolutionary Perspective</w:t>
      </w:r>
    </w:p>
    <w:p w:rsidR="00C22DEE" w:rsidRPr="003376E5" w:rsidRDefault="00C22DEE" w:rsidP="003376E5">
      <w:pPr>
        <w:pStyle w:val="NoSpacing"/>
        <w:tabs>
          <w:tab w:val="left" w:pos="5220"/>
        </w:tabs>
        <w:ind w:right="-12"/>
        <w:jc w:val="both"/>
        <w:rPr>
          <w:rFonts w:ascii="Times New Roman" w:hAnsi="Times New Roman"/>
        </w:rPr>
      </w:pPr>
    </w:p>
    <w:p w:rsidR="00C22DEE" w:rsidRPr="003376E5" w:rsidRDefault="00C22DEE" w:rsidP="003376E5">
      <w:pPr>
        <w:pStyle w:val="NoSpacing"/>
        <w:tabs>
          <w:tab w:val="left" w:pos="5220"/>
        </w:tabs>
        <w:ind w:right="-12"/>
        <w:jc w:val="both"/>
        <w:rPr>
          <w:rFonts w:ascii="Times New Roman" w:hAnsi="Times New Roman"/>
        </w:rPr>
      </w:pPr>
      <w:r w:rsidRPr="003376E5">
        <w:rPr>
          <w:rFonts w:ascii="Times New Roman" w:hAnsi="Times New Roman"/>
        </w:rPr>
        <w:t xml:space="preserve">Humans are not deus ex machina creations. They have a developmental and even ongoing developmental history. Their earlier lives, as documented in earlier species of the genus </w:t>
      </w:r>
      <w:r w:rsidRPr="003376E5">
        <w:rPr>
          <w:rFonts w:ascii="Times New Roman" w:hAnsi="Times New Roman"/>
          <w:i/>
        </w:rPr>
        <w:t>Homo</w:t>
      </w:r>
      <w:r w:rsidRPr="003376E5">
        <w:rPr>
          <w:rFonts w:ascii="Times New Roman" w:hAnsi="Times New Roman"/>
        </w:rPr>
        <w:t xml:space="preserve">, provide evidence of concepts, concepts arising in conjunction with the origin of tool-making, for example, with the origin of counting, with the origin of language, with death, with the creation of cave art. What can be shown and shown in depth phenomenologically is the nature of these concepts, how they arose as nonlinguistic corporeal concepts, teeth being the source of differentiated stone tools, for example, body parts such as two eyes, two legs, and so on, hence not just fingers, being the source of counting. Herewith an example.   </w:t>
      </w:r>
    </w:p>
    <w:p w:rsidR="00C22DEE" w:rsidRPr="003376E5" w:rsidRDefault="00C22DEE" w:rsidP="003376E5">
      <w:pPr>
        <w:pStyle w:val="NoSpacing"/>
        <w:tabs>
          <w:tab w:val="left" w:pos="5220"/>
        </w:tabs>
        <w:ind w:right="-12"/>
        <w:jc w:val="both"/>
        <w:rPr>
          <w:rFonts w:ascii="Times New Roman" w:hAnsi="Times New Roman"/>
        </w:rPr>
      </w:pPr>
    </w:p>
    <w:p w:rsidR="00C22DEE" w:rsidRPr="003376E5" w:rsidRDefault="00C22DEE" w:rsidP="003376E5">
      <w:pPr>
        <w:pStyle w:val="NoSpacing"/>
        <w:tabs>
          <w:tab w:val="left" w:pos="5220"/>
        </w:tabs>
        <w:ind w:right="-12"/>
        <w:jc w:val="both"/>
        <w:rPr>
          <w:rFonts w:ascii="Times New Roman" w:hAnsi="Times New Roman"/>
          <w:vertAlign w:val="superscript"/>
        </w:rPr>
      </w:pPr>
      <w:r w:rsidRPr="003376E5">
        <w:rPr>
          <w:rFonts w:ascii="Times New Roman" w:hAnsi="Times New Roman"/>
        </w:rPr>
        <w:t>Paleoanthropologists, archaeologists, and anthropologists have all consistently remarked on how ancestral hominids, in fashioning stone tools, made tools do the work of teeth. They speak consistently of how teeth were replaced by tools. For example, one archaeologist writes, "In an evolutionary perspective, the use of hands and tools, sticks, bones, and stones, to tear, cut, and to pound and grind foodstuffs is but a simple extension of the functions performed by the jaws." He goes on to describe flaking techniques and the creation of edges. What he and other evolutionary scientists do not speak of, and what they do not even stop to question is "the simple extension,'' that is, how the replacement came to be. Where did the notion of a tool come from? What similarity was conceived between teeth and stones? Where did the notion of an edge come from? Such questions never surface in paleoanthropology and related disciplines not simply because there is typically no interest in conceptual origins, but because there is no explicit acknowledgment of a tactile-kinesthetic body. In the world of paleoanthropology, the body is reduced to an object in the same sensory-effacing way that pain is "reduced to a mere grimace." Unlike the surface that is no mere externality but that is undergirded by a tactile-kinesthetic life and in this sense has a living density about it, the visual body of the paleo</w:t>
      </w:r>
      <w:r w:rsidRPr="003376E5">
        <w:rPr>
          <w:rFonts w:ascii="Times New Roman" w:hAnsi="Times New Roman"/>
        </w:rPr>
        <w:softHyphen/>
        <w:t xml:space="preserve">anthropologist has insides only in the sense of an objectified anatomy and physiology. As for the surface itself, only what is visible counts—thus, behavior—and the behavioral surface with respect to tactility, for example, is all on the side of the object. Experience in the sense of the felt character of things is consistently discounted. It is ironic, then, that while ancient stone tools are spoken of precisely in terms of tactility—they are </w:t>
      </w:r>
      <w:r w:rsidRPr="003376E5">
        <w:rPr>
          <w:rFonts w:ascii="Times New Roman" w:hAnsi="Times New Roman"/>
          <w:i/>
        </w:rPr>
        <w:t>retouched</w:t>
      </w:r>
      <w:r w:rsidRPr="003376E5">
        <w:rPr>
          <w:rFonts w:ascii="Times New Roman" w:hAnsi="Times New Roman"/>
        </w:rPr>
        <w:t xml:space="preserve"> or not  (meaning they have been manually </w:t>
      </w:r>
      <w:r w:rsidRPr="003376E5">
        <w:rPr>
          <w:rFonts w:ascii="Times New Roman" w:hAnsi="Times New Roman"/>
          <w:i/>
        </w:rPr>
        <w:t>worked</w:t>
      </w:r>
      <w:r w:rsidRPr="003376E5">
        <w:rPr>
          <w:rFonts w:ascii="Times New Roman" w:hAnsi="Times New Roman"/>
        </w:rPr>
        <w:t xml:space="preserve"> or not)—language never opens up a vista on the tactile-kinesthetic body. Because the artifactual evidence is never grounded in tactile-kinesthetic experience, the body ends up being consistently reduced to, and treated as an object, indeed, a </w:t>
      </w:r>
      <w:r w:rsidRPr="003376E5">
        <w:rPr>
          <w:rFonts w:ascii="Times New Roman" w:hAnsi="Times New Roman"/>
          <w:i/>
        </w:rPr>
        <w:t>cultural</w:t>
      </w:r>
      <w:r w:rsidRPr="003376E5">
        <w:rPr>
          <w:rFonts w:ascii="Times New Roman" w:hAnsi="Times New Roman"/>
        </w:rPr>
        <w:t xml:space="preserve"> object to the degree that although recognized as having evolved, it is understood only in the reflected light of its products—most notably, its stone tool-making, its cave drawings, its burial practices.</w:t>
      </w:r>
      <w:r w:rsidRPr="003376E5">
        <w:rPr>
          <w:rFonts w:ascii="Times New Roman" w:hAnsi="Times New Roman"/>
          <w:vertAlign w:val="superscript"/>
        </w:rPr>
        <w:t>7</w:t>
      </w:r>
    </w:p>
    <w:p w:rsidR="00C22DEE" w:rsidRPr="003376E5" w:rsidRDefault="00C22DEE" w:rsidP="003376E5">
      <w:pPr>
        <w:pStyle w:val="NoSpacing"/>
        <w:tabs>
          <w:tab w:val="left" w:pos="5220"/>
        </w:tabs>
        <w:ind w:right="-12"/>
        <w:jc w:val="both"/>
        <w:rPr>
          <w:rFonts w:ascii="Times New Roman" w:hAnsi="Times New Roman"/>
        </w:rPr>
      </w:pPr>
    </w:p>
    <w:p w:rsidR="00C22DEE" w:rsidRPr="003376E5" w:rsidRDefault="00C22DEE" w:rsidP="003376E5">
      <w:pPr>
        <w:pStyle w:val="NoSpacing"/>
        <w:tabs>
          <w:tab w:val="left" w:pos="5220"/>
        </w:tabs>
        <w:ind w:right="-12"/>
        <w:jc w:val="both"/>
        <w:rPr>
          <w:rFonts w:ascii="Times New Roman" w:hAnsi="Times New Roman"/>
        </w:rPr>
      </w:pPr>
      <w:r w:rsidRPr="003376E5">
        <w:rPr>
          <w:rFonts w:ascii="Times New Roman" w:hAnsi="Times New Roman"/>
        </w:rPr>
        <w:t>There is actually a compound irony here in that paleo</w:t>
      </w:r>
      <w:r w:rsidRPr="003376E5">
        <w:rPr>
          <w:rFonts w:ascii="Times New Roman" w:hAnsi="Times New Roman"/>
        </w:rPr>
        <w:softHyphen/>
        <w:t>anthropology—like other cultural disciplines—is itself a cultural object complete with, for example, hunting males and gathering females, and gathering females who being no longer periodically receptive are—in the memorable words of several evolutionary scientists—"continuously copulable.”</w:t>
      </w:r>
      <w:r w:rsidRPr="003376E5">
        <w:rPr>
          <w:rFonts w:ascii="Times New Roman" w:hAnsi="Times New Roman"/>
          <w:vertAlign w:val="superscript"/>
        </w:rPr>
        <w:t xml:space="preserve">8 </w:t>
      </w:r>
      <w:r w:rsidRPr="003376E5">
        <w:rPr>
          <w:rFonts w:ascii="Times New Roman" w:hAnsi="Times New Roman"/>
        </w:rPr>
        <w:t>An understanding of the human body as first of all a hominid body, and as such engendering pan-hominid invariants by way of animate form and tactile-kinesthetic experience, is the basis for an understanding of the body as pan-cultural universal.</w:t>
      </w:r>
    </w:p>
    <w:p w:rsidR="00C22DEE" w:rsidRPr="003376E5" w:rsidRDefault="00C22DEE" w:rsidP="003376E5">
      <w:pPr>
        <w:pStyle w:val="NoSpacing"/>
        <w:tabs>
          <w:tab w:val="left" w:pos="5220"/>
        </w:tabs>
        <w:ind w:right="-12"/>
        <w:jc w:val="both"/>
        <w:rPr>
          <w:rFonts w:ascii="Times New Roman" w:hAnsi="Times New Roman"/>
        </w:rPr>
      </w:pPr>
    </w:p>
    <w:p w:rsidR="00C22DEE" w:rsidRPr="003376E5" w:rsidRDefault="00C22DEE" w:rsidP="003376E5">
      <w:pPr>
        <w:pStyle w:val="NoSpacing"/>
        <w:tabs>
          <w:tab w:val="left" w:pos="5220"/>
        </w:tabs>
        <w:ind w:right="-12"/>
        <w:jc w:val="both"/>
        <w:rPr>
          <w:rFonts w:ascii="Times New Roman" w:hAnsi="Times New Roman"/>
        </w:rPr>
      </w:pPr>
      <w:r w:rsidRPr="003376E5">
        <w:rPr>
          <w:rFonts w:ascii="Times New Roman" w:hAnsi="Times New Roman"/>
        </w:rPr>
        <w:t xml:space="preserve">Hominid teeth that mash and grind food have a specific tactile character; so too do hominid teeth that bite and scrape. If you run your tongue along the occlusal surface of your upper teeth starting at your molars and progress toward your front teeth, you will discover a distinct tactile change: an irregular, bumpy surface ends and an even, thin edge begins. In brief, a thick, grooved, and discontinuous array of edges gives way to a thin, even, single edge. Although not spoken of in biology as major hominid tooth forms, there is no doubt but that molars and incisors constitute fundamental hominid dental types. Actual experience shows further that these two dental types are connected with two basic kinds of eating acts: mashing and biting. </w:t>
      </w:r>
    </w:p>
    <w:p w:rsidR="00C22DEE" w:rsidRPr="003376E5" w:rsidRDefault="00C22DEE" w:rsidP="003376E5">
      <w:pPr>
        <w:pStyle w:val="NoSpacing"/>
        <w:tabs>
          <w:tab w:val="left" w:pos="5220"/>
        </w:tabs>
        <w:ind w:right="-12"/>
        <w:jc w:val="both"/>
        <w:rPr>
          <w:rFonts w:ascii="Times New Roman" w:hAnsi="Times New Roman"/>
        </w:rPr>
      </w:pPr>
    </w:p>
    <w:p w:rsidR="00C22DEE" w:rsidRPr="003376E5" w:rsidRDefault="00C22DEE" w:rsidP="003376E5">
      <w:pPr>
        <w:pStyle w:val="NoSpacing"/>
        <w:tabs>
          <w:tab w:val="left" w:pos="5220"/>
        </w:tabs>
        <w:ind w:right="-12"/>
        <w:jc w:val="both"/>
        <w:rPr>
          <w:rFonts w:ascii="Times New Roman" w:hAnsi="Times New Roman"/>
        </w:rPr>
      </w:pPr>
      <w:r w:rsidRPr="003376E5">
        <w:rPr>
          <w:rFonts w:ascii="Times New Roman" w:hAnsi="Times New Roman"/>
        </w:rPr>
        <w:t>Consider now that there are two major forms of early stone tools recognized by paleoanthropologists: core tools and flake tools. Core tools are relatively thick pieces of stone. As testimonial to that thickness, they are usually held not between fingers and thumb but up against the palm of the hand. They have several protruding edges that commonly stand out in relief in the same way that the edges of molars stand out in relief:  a relative jaggedness with respect to functional surface is typical of each. Flake tools are in contrast relatively thin pieces of stone. As testimonial to their thinness, flake tools are commonly pinched between finger(s) and thumb—like a razor blade. A flake tool has a single manually traceable edge, and unlike a core tool, it has more readily distinguishable sides as well as a single pronounced edge. Pinched between finger(s) and thumb, it is a lengthier, more vertically aligned object than the more squat and thick core tool. Its surfaces are moreover relatively flat like an incisor rather than rounded and irregular like a molar.</w:t>
      </w:r>
    </w:p>
    <w:p w:rsidR="00C22DEE" w:rsidRPr="003376E5" w:rsidRDefault="00C22DEE" w:rsidP="003376E5">
      <w:pPr>
        <w:pStyle w:val="NoSpacing"/>
        <w:tabs>
          <w:tab w:val="left" w:pos="5220"/>
        </w:tabs>
        <w:ind w:right="-12"/>
        <w:jc w:val="both"/>
        <w:rPr>
          <w:rFonts w:ascii="Times New Roman" w:hAnsi="Times New Roman"/>
        </w:rPr>
      </w:pPr>
    </w:p>
    <w:p w:rsidR="00C22DEE" w:rsidRDefault="00C22DEE" w:rsidP="003376E5">
      <w:pPr>
        <w:pStyle w:val="NoSpacing"/>
        <w:tabs>
          <w:tab w:val="left" w:pos="5220"/>
        </w:tabs>
        <w:ind w:right="-12"/>
        <w:jc w:val="both"/>
        <w:rPr>
          <w:rFonts w:ascii="Times New Roman" w:hAnsi="Times New Roman"/>
        </w:rPr>
      </w:pPr>
      <w:r w:rsidRPr="003376E5">
        <w:rPr>
          <w:rFonts w:ascii="Times New Roman" w:hAnsi="Times New Roman"/>
        </w:rPr>
        <w:t>The analogy between the two major tooth forms and the two major tool forms is obvious once the tactile-kinesthetic body is recognized. The ground of the analogy is palpably evident in the tactile experience of the occlusal surface of teeth, of what is called the "dental arcade." As one well-known paleoanthropologist described the arcade—but </w:t>
      </w:r>
      <w:r w:rsidRPr="003376E5">
        <w:rPr>
          <w:rFonts w:ascii="Times New Roman" w:hAnsi="Times New Roman"/>
          <w:i/>
        </w:rPr>
        <w:t>quite apart from any reference to tactile-kinesthetic inspection and quite apart from any reference to stone tools</w:t>
      </w:r>
      <w:r w:rsidRPr="003376E5">
        <w:rPr>
          <w:rFonts w:ascii="Times New Roman" w:hAnsi="Times New Roman"/>
        </w:rPr>
        <w:t>—"a continuous anterior cutting blade" replaces a slicing and grinding instrument; in other words, starting at the back teeth as originally suggested, one readily observes that molars give way to incisors.</w:t>
      </w:r>
    </w:p>
    <w:p w:rsidR="00C22DEE" w:rsidRPr="003376E5" w:rsidRDefault="00C22DEE" w:rsidP="003376E5">
      <w:pPr>
        <w:pStyle w:val="NoSpacing"/>
        <w:tabs>
          <w:tab w:val="left" w:pos="5220"/>
        </w:tabs>
        <w:ind w:right="-12"/>
        <w:jc w:val="both"/>
        <w:rPr>
          <w:rFonts w:ascii="Times New Roman" w:hAnsi="Times New Roman"/>
          <w:vertAlign w:val="superscript"/>
        </w:rPr>
      </w:pPr>
    </w:p>
    <w:p w:rsidR="00C22DEE" w:rsidRPr="003376E5" w:rsidRDefault="00C22DEE" w:rsidP="003376E5">
      <w:pPr>
        <w:pStyle w:val="NoSpacing"/>
        <w:tabs>
          <w:tab w:val="left" w:pos="5220"/>
        </w:tabs>
        <w:ind w:right="-12"/>
        <w:jc w:val="both"/>
        <w:rPr>
          <w:rFonts w:ascii="Times New Roman" w:hAnsi="Times New Roman"/>
        </w:rPr>
      </w:pPr>
      <w:r w:rsidRPr="003376E5">
        <w:rPr>
          <w:rFonts w:ascii="Times New Roman" w:hAnsi="Times New Roman"/>
        </w:rPr>
        <w:t>Now edges either stand out in relief, as with molars and core tools, or they define contour, as with incisors and flake tools. In either case, however, whatever has an edge has power. Understandably, then, the critical character of a stone tool in the beginning was not that it have a definite, set shape but that it "have an edge." The beginnings of stone tool-making were in consequence not a matter of flaking stones in specific ways; rather, early hominids took whatever edges resulted from flaking. A concern with shape becomes evident at a later stage, namely, in Acheulian handaxes. (Acheulian handaxes were general purpose tools that were widely used in Africa, Southwest Asia, and Europe.) Where edges are not created as surface properties of an object but a single all</w:t>
      </w:r>
      <w:r w:rsidRPr="003376E5">
        <w:rPr>
          <w:rFonts w:ascii="Times New Roman" w:hAnsi="Times New Roman"/>
        </w:rPr>
        <w:softHyphen/>
        <w:t xml:space="preserve"> over edge dominates, the surfaces of the object are likely to be perceived as sides, and this because the same edge that defines simple contour </w:t>
      </w:r>
      <w:r w:rsidRPr="003376E5">
        <w:rPr>
          <w:rFonts w:ascii="Times New Roman" w:hAnsi="Times New Roman"/>
          <w:i/>
        </w:rPr>
        <w:t xml:space="preserve">ipso facto </w:t>
      </w:r>
      <w:r w:rsidRPr="003376E5">
        <w:rPr>
          <w:rFonts w:ascii="Times New Roman" w:hAnsi="Times New Roman"/>
        </w:rPr>
        <w:t xml:space="preserve">defines sides. Our hands are a paradigmatic instance of this relationship. In fact, where sides are not </w:t>
      </w:r>
      <w:r w:rsidRPr="003376E5">
        <w:rPr>
          <w:rFonts w:ascii="Times New Roman" w:hAnsi="Times New Roman"/>
          <w:i/>
        </w:rPr>
        <w:t>accidents</w:t>
      </w:r>
      <w:r w:rsidRPr="003376E5">
        <w:rPr>
          <w:rFonts w:ascii="Times New Roman" w:hAnsi="Times New Roman"/>
        </w:rPr>
        <w:t xml:space="preserve"> of flaking but are created in their own right, the stone has been shaped by turning it over, the knapper working the edge first from what will ultimately be one face, then what will ultimately be the other face, then from the first, and so on. Rather than jagged edges, "evenly trimmed sides" result.</w:t>
      </w:r>
      <w:r w:rsidRPr="003376E5">
        <w:rPr>
          <w:rFonts w:ascii="Times New Roman" w:hAnsi="Times New Roman"/>
          <w:vertAlign w:val="superscript"/>
        </w:rPr>
        <w:t>12</w:t>
      </w:r>
      <w:r w:rsidRPr="003376E5">
        <w:rPr>
          <w:rFonts w:ascii="Times New Roman" w:hAnsi="Times New Roman"/>
        </w:rPr>
        <w:t xml:space="preserve"> In effect, a three-dimensional act eventuates in a two-sided object. </w:t>
      </w:r>
    </w:p>
    <w:p w:rsidR="00C22DEE" w:rsidRPr="003376E5" w:rsidRDefault="00C22DEE" w:rsidP="003376E5">
      <w:pPr>
        <w:pStyle w:val="NoSpacing"/>
        <w:tabs>
          <w:tab w:val="left" w:pos="5220"/>
        </w:tabs>
        <w:ind w:right="-12"/>
        <w:jc w:val="both"/>
        <w:rPr>
          <w:rFonts w:ascii="Times New Roman" w:hAnsi="Times New Roman"/>
        </w:rPr>
      </w:pPr>
    </w:p>
    <w:p w:rsidR="00C22DEE" w:rsidRPr="003376E5" w:rsidRDefault="00C22DEE" w:rsidP="003376E5">
      <w:pPr>
        <w:pStyle w:val="NoSpacing"/>
        <w:tabs>
          <w:tab w:val="left" w:pos="5220"/>
        </w:tabs>
        <w:ind w:right="-12"/>
        <w:jc w:val="both"/>
        <w:rPr>
          <w:rFonts w:ascii="Times New Roman" w:hAnsi="Times New Roman"/>
        </w:rPr>
      </w:pPr>
      <w:r w:rsidRPr="003376E5">
        <w:rPr>
          <w:rFonts w:ascii="Times New Roman" w:hAnsi="Times New Roman"/>
        </w:rPr>
        <w:t xml:space="preserve">As with the Acheulian handaxes, the visual character of such a tool is prominent; shape in the form of an all-over contoured edge is a strikingly notable feature. Just so with our hands whose shape is perceived as an over contour and whose sides are readily in evidence by turning them over. Furthermore, just as the </w:t>
      </w:r>
      <w:r w:rsidRPr="003376E5">
        <w:rPr>
          <w:rFonts w:ascii="Times New Roman" w:hAnsi="Times New Roman"/>
          <w:i/>
        </w:rPr>
        <w:t>entire</w:t>
      </w:r>
      <w:r w:rsidRPr="003376E5">
        <w:rPr>
          <w:rFonts w:ascii="Times New Roman" w:hAnsi="Times New Roman"/>
        </w:rPr>
        <w:t xml:space="preserve"> stone is a tool, so our entire hand is a tool as in gripping and striking. Analogical thinking is thus again clearly evident.</w:t>
      </w:r>
      <w:r w:rsidRPr="003376E5">
        <w:rPr>
          <w:rFonts w:ascii="Times New Roman" w:hAnsi="Times New Roman"/>
          <w:vertAlign w:val="superscript"/>
        </w:rPr>
        <w:t>13</w:t>
      </w:r>
      <w:r w:rsidRPr="003376E5">
        <w:rPr>
          <w:rFonts w:ascii="Times New Roman" w:hAnsi="Times New Roman"/>
        </w:rPr>
        <w:t xml:space="preserve"> Acheulian handaxes are conceptually linked with hands in the same way that the earlier Oldowan tools are conceptually linked with teeth. Not that the tactile-kinesthetic character of stone tools disappeared in the course of the development of the handaxes. On the contrary, it was elaborated in visual terms as is evident from the fact that the contour of an Acheulian handaxe can be followed not only </w:t>
      </w:r>
      <w:r w:rsidRPr="003376E5">
        <w:rPr>
          <w:rFonts w:ascii="Times New Roman" w:hAnsi="Times New Roman"/>
          <w:i/>
        </w:rPr>
        <w:t>manually</w:t>
      </w:r>
      <w:r w:rsidRPr="003376E5">
        <w:rPr>
          <w:rFonts w:ascii="Times New Roman" w:hAnsi="Times New Roman"/>
        </w:rPr>
        <w:t xml:space="preserve">, but </w:t>
      </w:r>
      <w:r w:rsidRPr="003376E5">
        <w:rPr>
          <w:rFonts w:ascii="Times New Roman" w:hAnsi="Times New Roman"/>
          <w:i/>
        </w:rPr>
        <w:t>visually</w:t>
      </w:r>
      <w:r w:rsidRPr="003376E5">
        <w:rPr>
          <w:rFonts w:ascii="Times New Roman" w:hAnsi="Times New Roman"/>
        </w:rPr>
        <w:t xml:space="preserve">, that is, as a linear form. This shift toward rectilinearity added a new dimension to the tactile-kinesthetic foundations of stone tool-making. </w:t>
      </w:r>
    </w:p>
    <w:p w:rsidR="00C22DEE" w:rsidRPr="003376E5" w:rsidRDefault="00C22DEE" w:rsidP="003376E5">
      <w:pPr>
        <w:pStyle w:val="NoSpacing"/>
        <w:tabs>
          <w:tab w:val="left" w:pos="5220"/>
        </w:tabs>
        <w:ind w:right="-12"/>
        <w:jc w:val="both"/>
        <w:rPr>
          <w:rFonts w:ascii="Times New Roman" w:hAnsi="Times New Roman"/>
        </w:rPr>
      </w:pPr>
    </w:p>
    <w:p w:rsidR="00C22DEE" w:rsidRDefault="00C22DEE" w:rsidP="003376E5">
      <w:pPr>
        <w:pStyle w:val="NoSpacing"/>
        <w:tabs>
          <w:tab w:val="left" w:pos="5220"/>
        </w:tabs>
        <w:ind w:right="-12"/>
        <w:jc w:val="both"/>
        <w:rPr>
          <w:rFonts w:ascii="Times New Roman" w:hAnsi="Times New Roman"/>
          <w:b/>
        </w:rPr>
      </w:pPr>
      <w:r w:rsidRPr="003376E5">
        <w:rPr>
          <w:rFonts w:ascii="Times New Roman" w:hAnsi="Times New Roman"/>
          <w:b/>
        </w:rPr>
        <w:t>(4) Descriptive Foundations</w:t>
      </w:r>
    </w:p>
    <w:p w:rsidR="00C22DEE" w:rsidRPr="003376E5" w:rsidRDefault="00C22DEE" w:rsidP="003376E5">
      <w:pPr>
        <w:pStyle w:val="NoSpacing"/>
        <w:tabs>
          <w:tab w:val="left" w:pos="5220"/>
        </w:tabs>
        <w:ind w:right="-12"/>
        <w:jc w:val="both"/>
        <w:rPr>
          <w:rFonts w:ascii="Times New Roman" w:hAnsi="Times New Roman"/>
          <w:b/>
        </w:rPr>
      </w:pPr>
    </w:p>
    <w:p w:rsidR="00C22DEE" w:rsidRPr="003376E5" w:rsidRDefault="00C22DEE" w:rsidP="003376E5">
      <w:pPr>
        <w:pStyle w:val="NoSpacing"/>
        <w:tabs>
          <w:tab w:val="left" w:pos="5220"/>
        </w:tabs>
        <w:ind w:right="-12"/>
        <w:jc w:val="both"/>
        <w:rPr>
          <w:rFonts w:ascii="Times New Roman" w:hAnsi="Times New Roman"/>
        </w:rPr>
      </w:pPr>
      <w:r w:rsidRPr="003376E5">
        <w:rPr>
          <w:rFonts w:ascii="Times New Roman" w:hAnsi="Times New Roman"/>
        </w:rPr>
        <w:t>While it is common to speak laudingly of the keenness and scope of Darwin's observations, it is not commonly  recognized, certainly not explicitly, that his observations, as written, describe his experiences. His written observations are in fact equivalent to his experiences in the sense that they detail what he saw, felt, heard, smelled, and even tasted. Though focal attention is consistently--one might even say, exclusively--riveted on  his  theory  of natural selection, Darwin's descriptive writings are of fundamental significance, for it is these descriptive writings  that ground  his theory, that are its foundation. More broadly, evolutionary understandings and explanations of Nature are in the end tethered to an experientially-derived descriptive literature. Reading this literature, we learn a good  deal about  nonhuman animals. We learn  that  they are perceptive,  thoughtful, and  affectively moved  by creatures and  things in their environment, and  we learn further that their perceptive, affective, and thoughtful ways are intimately related  to our own. In short, Darwin's descriptive accounts of the natural living world reveal something about the lives of others and in turn something about our own lives.</w:t>
      </w:r>
    </w:p>
    <w:p w:rsidR="00C22DEE" w:rsidRPr="003376E5" w:rsidRDefault="00C22DEE" w:rsidP="003376E5">
      <w:pPr>
        <w:pStyle w:val="NoSpacing"/>
        <w:tabs>
          <w:tab w:val="left" w:pos="5220"/>
        </w:tabs>
        <w:ind w:right="-12"/>
        <w:jc w:val="both"/>
        <w:rPr>
          <w:rFonts w:ascii="Times New Roman" w:hAnsi="Times New Roman"/>
        </w:rPr>
      </w:pPr>
    </w:p>
    <w:p w:rsidR="00C22DEE" w:rsidRPr="003376E5" w:rsidRDefault="00C22DEE" w:rsidP="003376E5">
      <w:pPr>
        <w:pStyle w:val="NoSpacing"/>
        <w:tabs>
          <w:tab w:val="left" w:pos="5220"/>
        </w:tabs>
        <w:ind w:right="-12"/>
        <w:jc w:val="both"/>
        <w:rPr>
          <w:rFonts w:ascii="Times New Roman" w:hAnsi="Times New Roman"/>
        </w:rPr>
      </w:pPr>
      <w:r w:rsidRPr="003376E5">
        <w:rPr>
          <w:rFonts w:ascii="Times New Roman" w:hAnsi="Times New Roman"/>
        </w:rPr>
        <w:t>I highlight the descriptive foundations of evolutionary theory in part because these descriptive foundations have fallen by the wayside, particularly in the highly visible present-day writings on evolution by neuroscientists and cognitive scientists. “Darwinian bodies” are not automatons. Neither are they robots lumbering  about  on behalf  of selfish genes nor are they head-end neurological mechanisms, as per cognitivists of all stripe who collapse bodies into brains. I highlight the descriptive foundations of evolutionary theory equally to call attention to experience, specifically to the fact that descriptive foundations are grounded in experience. Descriptive foundations do not come by way of reducing the living world to genes, collapsing it into brains, or modeling it along the lines of a computer. Descriptive foundations are laid by way of direct experience of the living world. Only by hewing to experiences of that world have we the possibility of arriving at veridical descriptive accounts of nature and in turn, at explanations of nature.</w:t>
      </w:r>
    </w:p>
    <w:p w:rsidR="00C22DEE" w:rsidRPr="003376E5" w:rsidRDefault="00C22DEE" w:rsidP="003376E5">
      <w:pPr>
        <w:pStyle w:val="NoSpacing"/>
        <w:tabs>
          <w:tab w:val="left" w:pos="5220"/>
        </w:tabs>
        <w:ind w:right="-12"/>
        <w:jc w:val="both"/>
        <w:rPr>
          <w:rFonts w:ascii="Times New Roman" w:hAnsi="Times New Roman"/>
        </w:rPr>
      </w:pPr>
    </w:p>
    <w:p w:rsidR="00C22DEE" w:rsidRPr="003376E5" w:rsidRDefault="00C22DEE" w:rsidP="003376E5">
      <w:pPr>
        <w:pStyle w:val="NoSpacing"/>
        <w:tabs>
          <w:tab w:val="left" w:pos="5220"/>
        </w:tabs>
        <w:ind w:right="-12"/>
        <w:jc w:val="both"/>
        <w:rPr>
          <w:rFonts w:ascii="Times New Roman" w:hAnsi="Times New Roman"/>
        </w:rPr>
      </w:pPr>
      <w:r w:rsidRPr="003376E5">
        <w:rPr>
          <w:rFonts w:ascii="Times New Roman" w:hAnsi="Times New Roman"/>
        </w:rPr>
        <w:t>I</w:t>
      </w:r>
      <w:bookmarkStart w:id="0" w:name="_GoBack"/>
      <w:bookmarkEnd w:id="0"/>
      <w:r w:rsidRPr="003376E5">
        <w:rPr>
          <w:rFonts w:ascii="Times New Roman" w:hAnsi="Times New Roman"/>
        </w:rPr>
        <w:t xml:space="preserve"> follow up these aspects of Darwinian evolutionary biology to show their confluence with phenomenology. Phenomenology, like Darwinian evolutionary biology, is methodologically essential to understandings of human nature; like Darwinian evolutionary biology, it too is tethered to experience and is basically a descriptive project; and again, like Darwinian evolutionary biology, it too is concerned with origins. What we think of and separate academically as disparate fields of knowledge are undergirded by descriptive foundations. The descriptive challenge lies in languaging experience and being true to the truths of experience, a challenge common to both fields of study.</w:t>
      </w:r>
    </w:p>
    <w:sectPr w:rsidR="00C22DEE" w:rsidRPr="003376E5" w:rsidSect="003376E5">
      <w:pgSz w:w="11907" w:h="16840"/>
      <w:pgMar w:top="1077" w:right="1107" w:bottom="907" w:left="1080" w:header="68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inion Regular">
    <w:altName w:val="Baskerville Old Fac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4CA9"/>
    <w:rsid w:val="00013984"/>
    <w:rsid w:val="000203F9"/>
    <w:rsid w:val="00041357"/>
    <w:rsid w:val="000810E3"/>
    <w:rsid w:val="00081340"/>
    <w:rsid w:val="000B6DB3"/>
    <w:rsid w:val="001A1C0A"/>
    <w:rsid w:val="001B2EE7"/>
    <w:rsid w:val="00213419"/>
    <w:rsid w:val="00271530"/>
    <w:rsid w:val="002C4284"/>
    <w:rsid w:val="00304CA9"/>
    <w:rsid w:val="003145AC"/>
    <w:rsid w:val="003376E5"/>
    <w:rsid w:val="00347295"/>
    <w:rsid w:val="00364B41"/>
    <w:rsid w:val="00390641"/>
    <w:rsid w:val="00467D22"/>
    <w:rsid w:val="00495C6D"/>
    <w:rsid w:val="004C00A3"/>
    <w:rsid w:val="0050288F"/>
    <w:rsid w:val="00504828"/>
    <w:rsid w:val="00532116"/>
    <w:rsid w:val="00571D82"/>
    <w:rsid w:val="005E6529"/>
    <w:rsid w:val="005F149F"/>
    <w:rsid w:val="00645DCD"/>
    <w:rsid w:val="0065454D"/>
    <w:rsid w:val="00665BD1"/>
    <w:rsid w:val="006A2DE0"/>
    <w:rsid w:val="006C2C01"/>
    <w:rsid w:val="006C4591"/>
    <w:rsid w:val="007106DD"/>
    <w:rsid w:val="00860C58"/>
    <w:rsid w:val="00875A2F"/>
    <w:rsid w:val="008805DD"/>
    <w:rsid w:val="008909E6"/>
    <w:rsid w:val="009744CC"/>
    <w:rsid w:val="00B02893"/>
    <w:rsid w:val="00B65DCC"/>
    <w:rsid w:val="00B731B9"/>
    <w:rsid w:val="00C22DEE"/>
    <w:rsid w:val="00C76AA8"/>
    <w:rsid w:val="00C97DB1"/>
    <w:rsid w:val="00D53465"/>
    <w:rsid w:val="00D722CE"/>
    <w:rsid w:val="00DF122F"/>
    <w:rsid w:val="00FD5472"/>
    <w:rsid w:val="00FF670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CA9"/>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rt">
    <w:name w:val="start"/>
    <w:basedOn w:val="DefaultParagraphFont"/>
    <w:uiPriority w:val="99"/>
    <w:rsid w:val="00304CA9"/>
    <w:rPr>
      <w:rFonts w:ascii="Minion Regular" w:hAnsi="Minion Regular" w:cs="Minion Regular"/>
      <w:sz w:val="21"/>
      <w:szCs w:val="21"/>
      <w:lang w:val="en-US"/>
    </w:rPr>
  </w:style>
  <w:style w:type="paragraph" w:customStyle="1" w:styleId="vtitle1">
    <w:name w:val="vtitle1"/>
    <w:uiPriority w:val="99"/>
    <w:rsid w:val="00304CA9"/>
    <w:pPr>
      <w:widowControl w:val="0"/>
      <w:tabs>
        <w:tab w:val="left" w:pos="-720"/>
      </w:tabs>
      <w:suppressAutoHyphens/>
      <w:autoSpaceDE w:val="0"/>
      <w:autoSpaceDN w:val="0"/>
      <w:adjustRightInd w:val="0"/>
      <w:spacing w:line="480" w:lineRule="atLeast"/>
    </w:pPr>
    <w:rPr>
      <w:rFonts w:ascii="Minion Regular" w:eastAsia="Times New Roman" w:hAnsi="Minion Regular" w:cs="Minion Regular"/>
      <w:sz w:val="21"/>
      <w:szCs w:val="21"/>
      <w:lang w:val="en-US" w:eastAsia="en-US"/>
    </w:rPr>
  </w:style>
  <w:style w:type="paragraph" w:styleId="NoSpacing">
    <w:name w:val="No Spacing"/>
    <w:uiPriority w:val="99"/>
    <w:qFormat/>
    <w:rsid w:val="00875A2F"/>
    <w:rPr>
      <w:lang w:val="en-US"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57</TotalTime>
  <Pages>4</Pages>
  <Words>2940</Words>
  <Characters>16174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dc:creator>
  <cp:keywords/>
  <dc:description/>
  <cp:lastModifiedBy>DGA</cp:lastModifiedBy>
  <cp:revision>8</cp:revision>
  <cp:lastPrinted>2016-02-16T15:51:00Z</cp:lastPrinted>
  <dcterms:created xsi:type="dcterms:W3CDTF">2016-02-01T02:43:00Z</dcterms:created>
  <dcterms:modified xsi:type="dcterms:W3CDTF">2016-02-16T15:55:00Z</dcterms:modified>
</cp:coreProperties>
</file>